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75" w:beforeAutospacing="0" w:after="75" w:afterAutospacing="0"/>
        <w:ind w:left="0" w:right="0" w:firstLine="0"/>
        <w:jc w:val="center"/>
        <w:rPr>
          <w:rStyle w:val="6"/>
          <w:rFonts w:ascii="宋体" w:hAnsi="宋体" w:eastAsia="宋体" w:cs="宋体"/>
          <w:spacing w:val="0"/>
          <w:sz w:val="72"/>
          <w:szCs w:val="72"/>
        </w:rPr>
      </w:pPr>
    </w:p>
    <w:p>
      <w:pPr>
        <w:pStyle w:val="4"/>
        <w:widowControl/>
        <w:spacing w:before="75" w:beforeAutospacing="0" w:after="75" w:afterAutospacing="0"/>
        <w:ind w:left="0" w:right="0" w:firstLine="0"/>
        <w:jc w:val="center"/>
        <w:rPr>
          <w:rStyle w:val="6"/>
          <w:rFonts w:ascii="宋体" w:hAnsi="宋体" w:eastAsia="宋体" w:cs="宋体"/>
          <w:spacing w:val="0"/>
          <w:sz w:val="72"/>
          <w:szCs w:val="72"/>
        </w:rPr>
      </w:pPr>
    </w:p>
    <w:p>
      <w:pPr>
        <w:pStyle w:val="4"/>
        <w:widowControl/>
        <w:spacing w:before="75" w:beforeAutospacing="0" w:after="75" w:afterAutospacing="0"/>
        <w:ind w:left="0" w:right="0" w:firstLine="0"/>
        <w:jc w:val="center"/>
      </w:pPr>
      <w:r>
        <w:rPr>
          <w:rStyle w:val="6"/>
          <w:rFonts w:ascii="宋体" w:hAnsi="宋体" w:eastAsia="宋体" w:cs="宋体"/>
          <w:spacing w:val="0"/>
          <w:sz w:val="72"/>
          <w:szCs w:val="72"/>
        </w:rPr>
        <w:t>福建省政府采购项目</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72"/>
          <w:szCs w:val="72"/>
        </w:rPr>
        <w:t>竞争性磋商文件</w:t>
      </w:r>
    </w:p>
    <w:p>
      <w:pPr>
        <w:pStyle w:val="4"/>
        <w:widowControl/>
        <w:spacing w:before="75" w:beforeAutospacing="0" w:after="75" w:afterAutospacing="0"/>
        <w:ind w:left="0" w:right="0" w:firstLine="0"/>
        <w:jc w:val="center"/>
      </w:pPr>
      <w:r>
        <w:rPr>
          <w:spacing w:val="0"/>
          <w:sz w:val="24"/>
          <w:szCs w:val="24"/>
        </w:rPr>
        <w:t> </w:t>
      </w:r>
    </w:p>
    <w:p>
      <w:pPr>
        <w:pStyle w:val="4"/>
        <w:widowControl/>
        <w:spacing w:before="75" w:beforeAutospacing="0" w:after="75" w:afterAutospacing="0"/>
        <w:ind w:left="0" w:right="0" w:firstLine="0"/>
        <w:rPr>
          <w:rStyle w:val="6"/>
          <w:rFonts w:hint="eastAsia" w:ascii="宋体" w:hAnsi="宋体" w:eastAsia="宋体" w:cs="宋体"/>
          <w:spacing w:val="0"/>
          <w:sz w:val="72"/>
          <w:szCs w:val="72"/>
        </w:rPr>
      </w:pPr>
      <w:r>
        <w:rPr>
          <w:rStyle w:val="6"/>
          <w:rFonts w:hint="eastAsia" w:ascii="宋体" w:hAnsi="宋体" w:eastAsia="宋体" w:cs="宋体"/>
          <w:spacing w:val="0"/>
          <w:sz w:val="72"/>
          <w:szCs w:val="72"/>
        </w:rPr>
        <w:t> </w:t>
      </w:r>
    </w:p>
    <w:p>
      <w:pPr>
        <w:pStyle w:val="4"/>
        <w:widowControl/>
        <w:spacing w:before="75" w:beforeAutospacing="0" w:after="75" w:afterAutospacing="0"/>
        <w:ind w:left="0" w:right="0" w:firstLine="0"/>
        <w:rPr>
          <w:rStyle w:val="6"/>
          <w:rFonts w:hint="eastAsia" w:ascii="宋体" w:hAnsi="宋体" w:eastAsia="宋体" w:cs="宋体"/>
          <w:spacing w:val="0"/>
          <w:sz w:val="72"/>
          <w:szCs w:val="72"/>
        </w:rPr>
      </w:pP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0"/>
          <w:szCs w:val="30"/>
        </w:rPr>
        <w:t>项目名称：</w:t>
      </w:r>
      <w:r>
        <w:rPr>
          <w:rStyle w:val="6"/>
          <w:rFonts w:hint="eastAsia" w:ascii="宋体" w:hAnsi="宋体" w:eastAsia="宋体" w:cs="宋体"/>
          <w:spacing w:val="0"/>
          <w:sz w:val="30"/>
          <w:szCs w:val="30"/>
          <w:u w:val="single"/>
        </w:rPr>
        <w:t>福建省经济和信息化委员会重点用能企业能源管理体系建设辅导评价服务类采购项目</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0"/>
          <w:szCs w:val="30"/>
        </w:rPr>
        <w:t>备案编号：</w:t>
      </w:r>
      <w:r>
        <w:rPr>
          <w:rStyle w:val="6"/>
          <w:rFonts w:hint="eastAsia" w:ascii="宋体" w:hAnsi="宋体" w:eastAsia="宋体" w:cs="宋体"/>
          <w:spacing w:val="0"/>
          <w:sz w:val="30"/>
          <w:szCs w:val="30"/>
          <w:u w:val="single"/>
        </w:rPr>
        <w:t>K-省经信委-JC-201808-B3965-HM</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0"/>
          <w:szCs w:val="30"/>
        </w:rPr>
        <w:t>项目编号：</w:t>
      </w:r>
      <w:r>
        <w:rPr>
          <w:rStyle w:val="6"/>
          <w:rFonts w:hint="eastAsia" w:ascii="宋体" w:hAnsi="宋体" w:eastAsia="宋体" w:cs="宋体"/>
          <w:spacing w:val="0"/>
          <w:sz w:val="30"/>
          <w:szCs w:val="30"/>
          <w:u w:val="single"/>
        </w:rPr>
        <w:t>[3500]HM[CS]2018003</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rPr>
          <w:spacing w:val="0"/>
          <w:sz w:val="24"/>
          <w:szCs w:val="24"/>
        </w:rPr>
      </w:pPr>
      <w:r>
        <w:rPr>
          <w:spacing w:val="0"/>
          <w:sz w:val="24"/>
          <w:szCs w:val="24"/>
        </w:rPr>
        <w:t> </w:t>
      </w:r>
    </w:p>
    <w:p>
      <w:pPr>
        <w:pStyle w:val="4"/>
        <w:widowControl/>
        <w:spacing w:before="75" w:beforeAutospacing="0" w:after="75" w:afterAutospacing="0"/>
        <w:ind w:left="0" w:right="0" w:firstLine="0"/>
        <w:rPr>
          <w:spacing w:val="0"/>
          <w:sz w:val="24"/>
          <w:szCs w:val="24"/>
        </w:rPr>
      </w:pP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28"/>
          <w:szCs w:val="28"/>
        </w:rPr>
        <w:t>福建华闽招标有限公司</w:t>
      </w:r>
    </w:p>
    <w:p>
      <w:pPr>
        <w:pStyle w:val="4"/>
        <w:widowControl/>
        <w:spacing w:before="75" w:beforeAutospacing="0" w:after="75" w:afterAutospacing="0"/>
        <w:ind w:left="0" w:right="0" w:firstLine="0"/>
      </w:pPr>
      <w:r>
        <w:rPr>
          <w:spacing w:val="0"/>
          <w:sz w:val="24"/>
          <w:szCs w:val="24"/>
        </w:rPr>
        <w:t> </w:t>
      </w:r>
      <w:r>
        <w:rPr>
          <w:rFonts w:hint="eastAsia"/>
          <w:spacing w:val="0"/>
          <w:sz w:val="24"/>
          <w:szCs w:val="24"/>
          <w:lang w:val="en-US" w:eastAsia="zh-CN"/>
        </w:rPr>
        <w:t xml:space="preserve">                           </w:t>
      </w:r>
      <w:r>
        <w:rPr>
          <w:rStyle w:val="6"/>
          <w:rFonts w:hint="eastAsia" w:ascii="宋体" w:hAnsi="宋体" w:eastAsia="宋体" w:cs="宋体"/>
          <w:spacing w:val="0"/>
          <w:sz w:val="28"/>
          <w:szCs w:val="28"/>
        </w:rPr>
        <w:t>2018年09月</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165" w:beforeAutospacing="0" w:after="315" w:afterAutospacing="0" w:line="360" w:lineRule="atLeast"/>
        <w:ind w:left="0" w:right="0" w:firstLine="0"/>
        <w:jc w:val="center"/>
      </w:pPr>
      <w:r>
        <w:rPr>
          <w:rStyle w:val="6"/>
          <w:rFonts w:hint="eastAsia" w:ascii="宋体" w:hAnsi="宋体" w:eastAsia="宋体" w:cs="宋体"/>
          <w:spacing w:val="0"/>
          <w:sz w:val="36"/>
          <w:szCs w:val="36"/>
        </w:rPr>
        <w:t> </w:t>
      </w:r>
      <w:r>
        <w:rPr>
          <w:rStyle w:val="6"/>
          <w:rFonts w:hint="eastAsia" w:ascii="宋体" w:hAnsi="宋体" w:eastAsia="宋体" w:cs="宋体"/>
          <w:spacing w:val="0"/>
          <w:sz w:val="43"/>
          <w:szCs w:val="43"/>
        </w:rPr>
        <w:t>第一章  采购邀请书</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43"/>
          <w:szCs w:val="43"/>
        </w:rPr>
        <w:t> </w:t>
      </w:r>
    </w:p>
    <w:p>
      <w:pPr>
        <w:pStyle w:val="4"/>
        <w:widowControl/>
        <w:spacing w:before="75" w:beforeAutospacing="0" w:after="75" w:afterAutospacing="0"/>
        <w:ind w:left="0" w:right="0" w:firstLine="0"/>
        <w:jc w:val="center"/>
      </w:pPr>
      <w:r>
        <w:rPr>
          <w:spacing w:val="0"/>
          <w:sz w:val="24"/>
          <w:szCs w:val="24"/>
        </w:rPr>
        <w:t> </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竞争性磋商采购公告</w:t>
      </w:r>
    </w:p>
    <w:p>
      <w:pPr>
        <w:pStyle w:val="4"/>
        <w:widowControl/>
        <w:spacing w:before="75" w:beforeAutospacing="0" w:after="75" w:afterAutospacing="0"/>
        <w:ind w:left="0" w:right="0" w:firstLine="0"/>
        <w:jc w:val="center"/>
      </w:pPr>
      <w:r>
        <w:rPr>
          <w:spacing w:val="0"/>
          <w:sz w:val="24"/>
          <w:szCs w:val="24"/>
        </w:rPr>
        <w:t> </w:t>
      </w:r>
    </w:p>
    <w:p>
      <w:pPr>
        <w:pStyle w:val="4"/>
        <w:widowControl/>
        <w:spacing w:before="75" w:beforeAutospacing="0" w:after="75" w:afterAutospacing="0" w:line="435" w:lineRule="atLeast"/>
        <w:ind w:left="0" w:right="0" w:firstLine="480"/>
      </w:pPr>
      <w:r>
        <w:rPr>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u w:val="single"/>
        </w:rPr>
        <w:t>福建省经济和信息化委员会</w:t>
      </w:r>
      <w:r>
        <w:rPr>
          <w:rFonts w:hint="eastAsia" w:ascii="宋体" w:hAnsi="宋体" w:eastAsia="宋体" w:cs="宋体"/>
          <w:spacing w:val="0"/>
          <w:sz w:val="24"/>
          <w:szCs w:val="24"/>
        </w:rPr>
        <w:t>已根据政府采购相关法律法规，经相应程序确定采用</w:t>
      </w:r>
      <w:r>
        <w:rPr>
          <w:rFonts w:hint="eastAsia" w:ascii="宋体" w:hAnsi="宋体" w:eastAsia="宋体" w:cs="宋体"/>
          <w:spacing w:val="0"/>
          <w:sz w:val="24"/>
          <w:szCs w:val="24"/>
          <w:u w:val="single"/>
        </w:rPr>
        <w:t> 竞争性磋商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rPr>
        <w:t>福建省经济和信息化委员会重点用能企业能源管理体系建设辅导评价服务类采购项目</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u w:val="single"/>
        </w:rPr>
        <w:t>福建华闽招标有限公司</w:t>
      </w:r>
      <w:r>
        <w:rPr>
          <w:rFonts w:hint="eastAsia" w:ascii="宋体" w:hAnsi="宋体" w:eastAsia="宋体" w:cs="宋体"/>
          <w:spacing w:val="0"/>
          <w:sz w:val="24"/>
          <w:szCs w:val="24"/>
        </w:rPr>
        <w:t>开展竞争性磋商活动。</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1.项目名称：福建省经济和信息化委员会重点用能企业能源管理体系建设辅导评价服务类采购项目。</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2.备案编号：K-省经信委-JC-201808-B3965-HM。</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3.项目编号：[3500]HM[CS]2018003。</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4"/>
        <w:widowControl/>
        <w:jc w:val="right"/>
      </w:pPr>
      <w:r>
        <w:rPr>
          <w:rFonts w:hint="eastAsia" w:ascii="宋体" w:hAnsi="宋体" w:eastAsia="宋体" w:cs="宋体"/>
        </w:rPr>
        <w:t>金额单位：人民币元</w:t>
      </w:r>
      <w:r>
        <w:t xml:space="preserve"> </w:t>
      </w:r>
    </w:p>
    <w:tbl>
      <w:tblPr>
        <w:tblStyle w:val="8"/>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7"/>
        <w:gridCol w:w="827"/>
        <w:gridCol w:w="1658"/>
        <w:gridCol w:w="827"/>
        <w:gridCol w:w="827"/>
        <w:gridCol w:w="827"/>
        <w:gridCol w:w="856"/>
        <w:gridCol w:w="16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rPr>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合同包</w:t>
            </w:r>
          </w:p>
        </w:tc>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品目号</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采购标的</w:t>
            </w:r>
          </w:p>
        </w:tc>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数量</w:t>
            </w:r>
          </w:p>
        </w:tc>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品目号预算</w:t>
            </w:r>
          </w:p>
        </w:tc>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允许进口</w:t>
            </w:r>
          </w:p>
        </w:tc>
        <w:tc>
          <w:tcPr>
            <w:tcW w:w="856"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合同包预算</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27"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1</w:t>
            </w:r>
          </w:p>
        </w:tc>
        <w:tc>
          <w:tcPr>
            <w:tcW w:w="4966" w:type="dxa"/>
            <w:gridSpan w:val="5"/>
            <w:tcBorders>
              <w:top w:val="outset" w:color="auto" w:sz="6" w:space="0"/>
              <w:left w:val="outset" w:color="auto" w:sz="6" w:space="0"/>
              <w:bottom w:val="outset" w:color="auto" w:sz="6" w:space="0"/>
              <w:right w:val="outset" w:color="auto" w:sz="6" w:space="0"/>
            </w:tcBorders>
            <w:vAlign w:val="center"/>
          </w:tcPr>
          <w:tbl>
            <w:tblPr>
              <w:tblStyle w:val="8"/>
              <w:tblW w:w="4935" w:type="dxa"/>
              <w:jc w:val="center"/>
              <w:tblInd w:w="2"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711"/>
              <w:gridCol w:w="1452"/>
              <w:gridCol w:w="711"/>
              <w:gridCol w:w="856"/>
              <w:gridCol w:w="120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eastAsia="宋体" w:cs="宋体"/>
                      <w:kern w:val="0"/>
                      <w:sz w:val="24"/>
                      <w:szCs w:val="24"/>
                      <w:lang w:val="en-US" w:eastAsia="zh-CN"/>
                    </w:rPr>
                    <w:t>1-1</w:t>
                  </w:r>
                </w:p>
              </w:tc>
              <w:tc>
                <w:tcPr>
                  <w:tcW w:w="1452"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eastAsia="宋体" w:cs="宋体"/>
                      <w:kern w:val="0"/>
                      <w:sz w:val="24"/>
                      <w:szCs w:val="24"/>
                      <w:lang w:val="en-US" w:eastAsia="zh-CN"/>
                    </w:rPr>
                    <w:t>重点用能企业能源管理体系建设辅导评价</w:t>
                  </w:r>
                </w:p>
              </w:tc>
              <w:tc>
                <w:tcPr>
                  <w:tcW w:w="711"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eastAsia="宋体" w:cs="宋体"/>
                      <w:kern w:val="0"/>
                      <w:sz w:val="24"/>
                      <w:szCs w:val="24"/>
                      <w:lang w:val="en-US" w:eastAsia="zh-CN"/>
                    </w:rPr>
                    <w:t>1项</w:t>
                  </w:r>
                </w:p>
              </w:tc>
              <w:tc>
                <w:tcPr>
                  <w:tcW w:w="856"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eastAsia="宋体" w:cs="宋体"/>
                      <w:kern w:val="0"/>
                      <w:sz w:val="24"/>
                      <w:szCs w:val="24"/>
                      <w:lang w:val="en-US" w:eastAsia="zh-CN"/>
                    </w:rPr>
                    <w:t>6000000</w:t>
                  </w:r>
                </w:p>
              </w:tc>
              <w:tc>
                <w:tcPr>
                  <w:tcW w:w="1205"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eastAsia="宋体" w:cs="宋体"/>
                      <w:kern w:val="0"/>
                      <w:sz w:val="24"/>
                      <w:szCs w:val="24"/>
                      <w:lang w:val="en-US" w:eastAsia="zh-CN"/>
                    </w:rPr>
                    <w:t>否</w:t>
                  </w:r>
                </w:p>
              </w:tc>
            </w:tr>
          </w:tbl>
          <w:p>
            <w:pPr>
              <w:jc w:val="center"/>
            </w:pPr>
          </w:p>
        </w:tc>
        <w:tc>
          <w:tcPr>
            <w:tcW w:w="856"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6000000</w:t>
            </w:r>
          </w:p>
        </w:tc>
        <w:tc>
          <w:tcPr>
            <w:tcW w:w="1653"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eastAsia="宋体" w:cs="宋体"/>
                <w:kern w:val="0"/>
                <w:sz w:val="24"/>
                <w:szCs w:val="24"/>
                <w:lang w:val="en-US" w:eastAsia="zh-CN"/>
              </w:rPr>
              <w:t>60000</w:t>
            </w:r>
          </w:p>
        </w:tc>
      </w:tr>
    </w:tbl>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5.采购项目需要落实的政府采购政策：促进残疾人就业 。信用记录，按照下列规定执行：（1）响应人应在采购公告发布后响应截止时间前分别通过“信用中国”网站（www.creditchina.gov.cn）、中国政府采购网（www.ccgp.gov.cn）查询并打印相应的信用记录（以下简称：“响应人提供的查询结果”），响应人提供的查询结果应为其通过上述网站获取的信用信息查询结果原始页面的打印件（或截图）。（2）查询结果的审查：①由资格审查小组通过上述网站查询并打印响应人信用记录（以下简称：“资格审查小组的查询结果”）。②响应人提供的查询结果与资格审查小组的查询结果不一致的，以资格审查小组的查询结果为准。③因上述网站原因导致资格审查小组无法查询响应人信用记录的（资格审查小组应将通过上述网站查询响应人信用记录时的原始页面打印后随采购文件一并存档），以响应人提供的查询结果为准。④查询结果存在响应人应被拒绝参与政府采购活动相关信息的，其资格审查不合格。。</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6.1法定条件：符合《中华人民共和国政府采购法》第二十二条第一款规定的条件。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6.2特定条件：</w:t>
      </w:r>
      <w:r>
        <w:rPr>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3737" w:type="dxa"/>
            <w:vAlign w:val="center"/>
          </w:tcPr>
          <w:p>
            <w:pPr>
              <w:widowControl/>
              <w:jc w:val="center"/>
              <w:rPr>
                <w:b/>
              </w:rPr>
            </w:pPr>
            <w:r>
              <w:rPr>
                <w:rFonts w:ascii="宋体" w:hAnsi="宋体" w:eastAsia="宋体" w:cs="宋体"/>
                <w:b/>
                <w:kern w:val="0"/>
                <w:sz w:val="24"/>
                <w:szCs w:val="24"/>
                <w:lang w:val="en-US" w:eastAsia="zh-CN"/>
              </w:rPr>
              <w:t>明细</w:t>
            </w:r>
          </w:p>
        </w:tc>
        <w:tc>
          <w:tcPr>
            <w:tcW w:w="4568" w:type="dxa"/>
            <w:vAlign w:val="center"/>
          </w:tcPr>
          <w:p>
            <w:pPr>
              <w:widowControl/>
              <w:jc w:val="center"/>
              <w:rPr>
                <w:b/>
              </w:rPr>
            </w:pPr>
            <w:r>
              <w:rPr>
                <w:rFonts w:ascii="宋体" w:hAnsi="宋体" w:eastAsia="宋体" w:cs="宋体"/>
                <w:b/>
                <w:kern w:val="0"/>
                <w:sz w:val="24"/>
                <w:szCs w:val="24"/>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vAlign w:val="center"/>
          </w:tcPr>
          <w:p>
            <w:pPr>
              <w:widowControl/>
              <w:jc w:val="left"/>
            </w:pPr>
            <w:r>
              <w:rPr>
                <w:rFonts w:ascii="宋体" w:hAnsi="宋体" w:eastAsia="宋体" w:cs="宋体"/>
                <w:kern w:val="0"/>
                <w:sz w:val="24"/>
                <w:szCs w:val="24"/>
                <w:lang w:val="en-US" w:eastAsia="zh-CN"/>
              </w:rPr>
              <w:t>其他资格证明文件</w:t>
            </w:r>
          </w:p>
        </w:tc>
        <w:tc>
          <w:tcPr>
            <w:tcW w:w="4568" w:type="dxa"/>
            <w:vAlign w:val="center"/>
          </w:tcPr>
          <w:p>
            <w:pPr>
              <w:widowControl/>
              <w:jc w:val="left"/>
            </w:pPr>
            <w:r>
              <w:rPr>
                <w:rFonts w:ascii="宋体" w:hAnsi="宋体" w:eastAsia="宋体" w:cs="宋体"/>
                <w:sz w:val="24"/>
                <w:szCs w:val="24"/>
              </w:rPr>
              <w:t>响应人应为获得国家有关部门批准, 具有能源管理体系认证或辅导评价业务范围的独立法人单位（响应人需提供相关证明材料）。一个集团公司只允许一家独立法人单位参加本项目磋商(响应人需提供其集团总部出具的本项目唯一响应人确认函)。</w:t>
            </w:r>
          </w:p>
        </w:tc>
      </w:tr>
    </w:tbl>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6.3是否接受联合体形式的响应磋商：不接受</w:t>
      </w:r>
    </w:p>
    <w:p>
      <w:pPr>
        <w:pStyle w:val="4"/>
        <w:widowControl/>
        <w:spacing w:before="75" w:beforeAutospacing="0" w:after="75" w:afterAutospacing="0" w:line="435" w:lineRule="atLeast"/>
        <w:ind w:left="0" w:right="0" w:firstLine="480"/>
      </w:pPr>
      <w:r>
        <w:rPr>
          <w:rStyle w:val="6"/>
          <w:rFonts w:hint="eastAsia" w:ascii="宋体" w:hAnsi="宋体" w:eastAsia="宋体" w:cs="宋体"/>
          <w:spacing w:val="0"/>
          <w:sz w:val="24"/>
          <w:szCs w:val="24"/>
        </w:rPr>
        <w:t>※根据上述资格要求，供应商响应文件中应提交的“资格证明文件”相关规定和资料要求，详见竞争性磋商须知前附表和磋商文件第五章。</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7.供应商报名期限：详见磋商公告或更正公告（若有）</w:t>
      </w:r>
      <w:r>
        <w:rPr>
          <w:rFonts w:hint="eastAsia" w:ascii="宋体" w:hAnsi="宋体" w:eastAsia="宋体" w:cs="宋体"/>
          <w:spacing w:val="0"/>
          <w:sz w:val="24"/>
          <w:szCs w:val="24"/>
          <w:shd w:val="clear" w:color="040000" w:fill="FFFFFF"/>
        </w:rPr>
        <w:t>。</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shd w:val="clear" w:color="040000" w:fill="FFFFFF"/>
        </w:rPr>
        <w:t>   7.1如果采购过程中有发出更正公告，采购人将根据实际情况确定是否延长报名期限，则报名截止时间以更正公告中的约定为准。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shd w:val="clear" w:color="040000" w:fill="FFFFFF"/>
        </w:rPr>
        <w:t>   7.2报名期限内，供应商应通过福建省政府采购网上公开信息系统的注册会员账号（免费注册）对本项目进行报名(请根据项目所在地，登录对应的福建省政府采购网上公开信息系统报名(即省本级网址/地市分网))。未报名将导致其不能下载采购文件且响应文件被拒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8.获取采购文件时间、地点、方式：</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8.1采购文件的提供期限：详见磋商公告或更正公告（若有），若不一致，以更正公告（若有）为准。采购文件的提供期限与磋商公告的公告期限保持一致。</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8.2获取地点及方式：从福建省政府采购网上公开信息系统以下载方式获取。</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9.采购文件售价：0元。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10.首次响应文件递交截止时间及地点：详见磋商公告或更正公告（若有），若不一致，以更正公告（若有）为准。</w:t>
      </w:r>
      <w:r>
        <w:rPr>
          <w:spacing w:val="0"/>
          <w:sz w:val="24"/>
          <w:szCs w:val="24"/>
        </w:rPr>
        <w:t>供应商</w:t>
      </w:r>
      <w:r>
        <w:rPr>
          <w:rFonts w:hint="eastAsia" w:ascii="宋体" w:hAnsi="宋体" w:eastAsia="宋体" w:cs="宋体"/>
          <w:spacing w:val="0"/>
          <w:sz w:val="24"/>
          <w:szCs w:val="24"/>
        </w:rPr>
        <w:t>应在此之前将密封的首次响应文件送达本章第11条载明的地点，逾期送达的或不符合规定的响应文件将被拒绝接收。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11.磋商时间及地点：详见磋商公告或更正公告（若有），若不一致，以更正公告（若有）为准。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12.竞争性磋商公告期限：自财政部和福建省财政厅指定的政府采购信息发布媒体最先发布公告之日起3个工作日。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13.采购人：</w:t>
      </w:r>
      <w:r>
        <w:rPr>
          <w:rFonts w:hint="eastAsia" w:ascii="宋体" w:hAnsi="宋体" w:eastAsia="宋体" w:cs="宋体"/>
          <w:spacing w:val="0"/>
          <w:sz w:val="24"/>
          <w:szCs w:val="24"/>
          <w:u w:val="single"/>
        </w:rPr>
        <w:t>福建省经济和信息化委员会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福州市华林路76号</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王学昭</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059187801232</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代理机构：</w:t>
      </w:r>
      <w:r>
        <w:rPr>
          <w:rFonts w:hint="eastAsia" w:ascii="宋体" w:hAnsi="宋体" w:eastAsia="宋体" w:cs="宋体"/>
          <w:spacing w:val="0"/>
          <w:sz w:val="24"/>
          <w:szCs w:val="24"/>
          <w:u w:val="single"/>
        </w:rPr>
        <w:t>福建华闽招标有限公司</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福州市鼓楼区华林路128号屏东写字楼19层</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林瑾南</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059187905631</w:t>
      </w:r>
    </w:p>
    <w:p>
      <w:pPr>
        <w:pStyle w:val="4"/>
        <w:widowControl/>
        <w:spacing w:before="75" w:beforeAutospacing="0" w:after="75" w:afterAutospacing="0" w:line="435" w:lineRule="atLeast"/>
        <w:ind w:right="0"/>
        <w:jc w:val="both"/>
      </w:pPr>
      <w:r>
        <w:rPr>
          <w:rFonts w:hint="eastAsia" w:ascii="宋体" w:hAnsi="宋体" w:eastAsia="宋体" w:cs="宋体"/>
          <w:spacing w:val="0"/>
          <w:sz w:val="24"/>
          <w:szCs w:val="24"/>
        </w:rPr>
        <w:t>附1：购买采购文件和提交磋商保证金的银行账户信息</w:t>
      </w:r>
    </w:p>
    <w:tbl>
      <w:tblPr>
        <w:tblStyle w:val="8"/>
        <w:tblW w:w="9038"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Style w:val="6"/>
                <w:rFonts w:hint="eastAsia" w:ascii="宋体" w:hAnsi="宋体" w:eastAsia="宋体" w:cs="宋体"/>
                <w:spacing w:val="0"/>
                <w:sz w:val="24"/>
                <w:szCs w:val="24"/>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top"/>
          </w:tcPr>
          <w:p>
            <w:pPr>
              <w:pStyle w:val="4"/>
              <w:widowControl/>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rPr>
              <w:t>福建华闽招标有限公司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top"/>
          </w:tcPr>
          <w:p>
            <w:pPr>
              <w:pStyle w:val="4"/>
              <w:widowControl/>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single"/>
              </w:rPr>
              <w:t>由供应商在福建省政府采购网上公开信息系统报名成功后根据系统的提示，自行选择要缴交的保证金托管银行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top"/>
          </w:tcPr>
          <w:p>
            <w:pPr>
              <w:pStyle w:val="4"/>
              <w:widowControl/>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Style w:val="6"/>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78"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1、请供应商务必认真核对账户信息，将磋商保证金款项汇入对应账户，并自行承担因款项汇错而产生的一切后果。</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2、请供应商在转账或电汇的凭证上务必按照以下格式注明，以便核对：“（项目编号：***、合同包：***）的磋商保证金”。</w:t>
            </w:r>
          </w:p>
        </w:tc>
      </w:tr>
    </w:tbl>
    <w:p>
      <w:pPr>
        <w:pStyle w:val="4"/>
        <w:widowControl/>
        <w:spacing w:before="75" w:beforeAutospacing="0" w:after="75" w:afterAutospacing="0" w:line="435" w:lineRule="atLeast"/>
        <w:ind w:right="0"/>
        <w:jc w:val="center"/>
        <w:rPr>
          <w:rStyle w:val="6"/>
          <w:rFonts w:hint="eastAsia" w:ascii="宋体" w:hAnsi="宋体" w:eastAsia="宋体" w:cs="宋体"/>
          <w:spacing w:val="0"/>
          <w:sz w:val="43"/>
          <w:szCs w:val="43"/>
        </w:rPr>
      </w:pPr>
      <w:r>
        <w:rPr>
          <w:rStyle w:val="6"/>
          <w:rFonts w:hint="eastAsia" w:ascii="宋体" w:hAnsi="宋体" w:eastAsia="宋体" w:cs="宋体"/>
          <w:spacing w:val="0"/>
          <w:sz w:val="43"/>
          <w:szCs w:val="43"/>
        </w:rPr>
        <w:br w:type="page"/>
      </w:r>
    </w:p>
    <w:p>
      <w:pPr>
        <w:pStyle w:val="4"/>
        <w:widowControl/>
        <w:spacing w:before="75" w:beforeAutospacing="0" w:after="75" w:afterAutospacing="0" w:line="435" w:lineRule="atLeast"/>
        <w:ind w:right="0"/>
        <w:jc w:val="center"/>
      </w:pPr>
      <w:r>
        <w:rPr>
          <w:rStyle w:val="6"/>
          <w:rFonts w:hint="eastAsia" w:ascii="宋体" w:hAnsi="宋体" w:eastAsia="宋体" w:cs="宋体"/>
          <w:spacing w:val="0"/>
          <w:sz w:val="43"/>
          <w:szCs w:val="43"/>
        </w:rPr>
        <w:t>第二章  竞争性磋商须知</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31"/>
          <w:szCs w:val="31"/>
        </w:rPr>
        <w:br w:type="textWrapping"/>
      </w:r>
      <w:r>
        <w:rPr>
          <w:rStyle w:val="6"/>
          <w:rFonts w:hint="eastAsia" w:ascii="宋体" w:hAnsi="宋体" w:eastAsia="宋体" w:cs="宋体"/>
          <w:spacing w:val="0"/>
          <w:sz w:val="31"/>
          <w:szCs w:val="31"/>
        </w:rPr>
        <w:t>第1节  竞争性磋商须知前附表</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竞争性磋商须知前附表是对竞争性磋商须知的补充和细化，二者如有矛盾，以前附表中的要求和规定为准</w:t>
      </w:r>
    </w:p>
    <w:tbl>
      <w:tblPr>
        <w:tblStyle w:val="8"/>
        <w:tblW w:w="858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4"/>
        <w:gridCol w:w="982"/>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 w:hRule="atLeast"/>
          <w:tblCellSpacing w:w="15" w:type="dxa"/>
        </w:trPr>
        <w:tc>
          <w:tcPr>
            <w:tcW w:w="629"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项号</w:t>
            </w:r>
          </w:p>
        </w:tc>
        <w:tc>
          <w:tcPr>
            <w:tcW w:w="952"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条款号</w:t>
            </w:r>
          </w:p>
        </w:tc>
        <w:tc>
          <w:tcPr>
            <w:tcW w:w="6885" w:type="dxa"/>
            <w:tcMar>
              <w:top w:w="0" w:type="dxa"/>
              <w:left w:w="105" w:type="dxa"/>
              <w:bottom w:w="0" w:type="dxa"/>
              <w:right w:w="105" w:type="dxa"/>
            </w:tcMar>
            <w:vAlign w:val="top"/>
          </w:tcPr>
          <w:p>
            <w:pPr>
              <w:pStyle w:val="4"/>
              <w:widowControl/>
              <w:spacing w:before="0" w:beforeAutospacing="0" w:after="0" w:afterAutospacing="0" w:line="435" w:lineRule="atLeast"/>
              <w:ind w:left="0" w:right="0"/>
              <w:jc w:val="center"/>
            </w:pPr>
            <w:r>
              <w:rPr>
                <w:rStyle w:val="6"/>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3.2.1</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：见磋商文件第一章“采购公告/采购邀请书”</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8"/>
              <w:tblW w:w="664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0"/>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2990" w:type="dxa"/>
                  <w:vAlign w:val="center"/>
                </w:tcPr>
                <w:p>
                  <w:pPr>
                    <w:widowControl/>
                    <w:jc w:val="center"/>
                    <w:rPr>
                      <w:b/>
                    </w:rPr>
                  </w:pPr>
                  <w:r>
                    <w:rPr>
                      <w:rFonts w:ascii="宋体" w:hAnsi="宋体" w:eastAsia="宋体" w:cs="宋体"/>
                      <w:b/>
                      <w:kern w:val="0"/>
                      <w:sz w:val="24"/>
                      <w:szCs w:val="24"/>
                      <w:lang w:val="en-US" w:eastAsia="zh-CN"/>
                    </w:rPr>
                    <w:t>明细</w:t>
                  </w:r>
                </w:p>
              </w:tc>
              <w:tc>
                <w:tcPr>
                  <w:tcW w:w="3654" w:type="dxa"/>
                  <w:vAlign w:val="center"/>
                </w:tcPr>
                <w:p>
                  <w:pPr>
                    <w:widowControl/>
                    <w:jc w:val="center"/>
                    <w:rPr>
                      <w:b/>
                    </w:rPr>
                  </w:pPr>
                  <w:r>
                    <w:rPr>
                      <w:rFonts w:ascii="宋体" w:hAnsi="宋体" w:eastAsia="宋体" w:cs="宋体"/>
                      <w:b/>
                      <w:kern w:val="0"/>
                      <w:sz w:val="24"/>
                      <w:szCs w:val="24"/>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a1投标函</w:t>
                  </w:r>
                </w:p>
              </w:tc>
              <w:tc>
                <w:tcPr>
                  <w:tcW w:w="3654" w:type="dxa"/>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a2单位负责人授权书</w:t>
                  </w:r>
                </w:p>
              </w:tc>
              <w:tc>
                <w:tcPr>
                  <w:tcW w:w="3654" w:type="dxa"/>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a3法人或者其他组织的营业执照等证明文件，自然人的身份证明</w:t>
                  </w:r>
                </w:p>
              </w:tc>
              <w:tc>
                <w:tcPr>
                  <w:tcW w:w="3654" w:type="dxa"/>
                  <w:vAlign w:val="center"/>
                </w:tcPr>
                <w:p>
                  <w:pPr>
                    <w:widowControl/>
                    <w:jc w:val="left"/>
                  </w:pPr>
                  <w:r>
                    <w:rPr>
                      <w:rFonts w:ascii="宋体" w:hAnsi="宋体" w:eastAsia="宋体" w:cs="宋体"/>
                      <w:kern w:val="0"/>
                      <w:sz w:val="24"/>
                      <w:szCs w:val="24"/>
                      <w:lang w:val="en-US" w:eastAsia="zh-CN"/>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a4财务状况报告</w:t>
                  </w:r>
                </w:p>
              </w:tc>
              <w:tc>
                <w:tcPr>
                  <w:tcW w:w="3654" w:type="dxa"/>
                  <w:vAlign w:val="center"/>
                </w:tcPr>
                <w:p>
                  <w:pPr>
                    <w:widowControl/>
                    <w:jc w:val="left"/>
                  </w:pPr>
                  <w:r>
                    <w:rPr>
                      <w:rFonts w:ascii="宋体" w:hAnsi="宋体" w:eastAsia="宋体" w:cs="宋体"/>
                      <w:kern w:val="0"/>
                      <w:sz w:val="24"/>
                      <w:szCs w:val="24"/>
                      <w:lang w:val="en-US" w:eastAsia="zh-CN"/>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a5依法缴纳税收的相关材料</w:t>
                  </w:r>
                </w:p>
              </w:tc>
              <w:tc>
                <w:tcPr>
                  <w:tcW w:w="3654" w:type="dxa"/>
                  <w:vAlign w:val="center"/>
                </w:tcPr>
                <w:p>
                  <w:pPr>
                    <w:widowControl/>
                    <w:jc w:val="left"/>
                  </w:pPr>
                  <w:r>
                    <w:rPr>
                      <w:rFonts w:ascii="宋体" w:hAnsi="宋体" w:eastAsia="宋体" w:cs="宋体"/>
                      <w:kern w:val="0"/>
                      <w:sz w:val="24"/>
                      <w:szCs w:val="24"/>
                      <w:lang w:val="en-US" w:eastAsia="zh-CN"/>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a6依法缴纳社会保障资金的相关材料</w:t>
                  </w:r>
                </w:p>
              </w:tc>
              <w:tc>
                <w:tcPr>
                  <w:tcW w:w="3654" w:type="dxa"/>
                  <w:vAlign w:val="center"/>
                </w:tcPr>
                <w:p>
                  <w:pPr>
                    <w:widowControl/>
                    <w:jc w:val="left"/>
                  </w:pPr>
                  <w:r>
                    <w:rPr>
                      <w:rFonts w:ascii="宋体" w:hAnsi="宋体" w:eastAsia="宋体" w:cs="宋体"/>
                      <w:kern w:val="0"/>
                      <w:sz w:val="24"/>
                      <w:szCs w:val="24"/>
                      <w:lang w:val="en-US" w:eastAsia="zh-CN"/>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a7具备履行合同所必需的设备和专业技术能力的材料</w:t>
                  </w:r>
                </w:p>
              </w:tc>
              <w:tc>
                <w:tcPr>
                  <w:tcW w:w="3654" w:type="dxa"/>
                  <w:vAlign w:val="center"/>
                </w:tcPr>
                <w:p>
                  <w:pPr>
                    <w:widowControl/>
                    <w:jc w:val="left"/>
                  </w:pPr>
                  <w:r>
                    <w:rPr>
                      <w:rFonts w:ascii="宋体" w:hAnsi="宋体" w:eastAsia="宋体" w:cs="宋体"/>
                      <w:kern w:val="0"/>
                      <w:sz w:val="24"/>
                      <w:szCs w:val="24"/>
                      <w:lang w:val="en-US" w:eastAsia="zh-CN"/>
                    </w:rPr>
                    <w:t>由招标人根据采购需求在第一章“资格要求特定条件”中详细列明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a8参加政府采购活动前3年内在经营活动中没有重大违法记录的书面声明</w:t>
                  </w:r>
                </w:p>
              </w:tc>
              <w:tc>
                <w:tcPr>
                  <w:tcW w:w="3654" w:type="dxa"/>
                  <w:vAlign w:val="center"/>
                </w:tcPr>
                <w:p>
                  <w:pPr>
                    <w:widowControl/>
                    <w:jc w:val="left"/>
                  </w:pPr>
                  <w:r>
                    <w:rPr>
                      <w:rFonts w:ascii="宋体" w:hAnsi="宋体" w:eastAsia="宋体" w:cs="宋体"/>
                      <w:kern w:val="0"/>
                      <w:sz w:val="24"/>
                      <w:szCs w:val="24"/>
                      <w:lang w:val="en-US" w:eastAsia="zh-CN"/>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a9检察机关行贿犯罪档案查询结果告知函(若有)</w:t>
                  </w:r>
                </w:p>
              </w:tc>
              <w:tc>
                <w:tcPr>
                  <w:tcW w:w="3654" w:type="dxa"/>
                  <w:vAlign w:val="center"/>
                </w:tcPr>
                <w:p>
                  <w:pPr>
                    <w:widowControl/>
                    <w:jc w:val="left"/>
                  </w:pPr>
                  <w:r>
                    <w:rPr>
                      <w:rFonts w:ascii="宋体" w:hAnsi="宋体" w:eastAsia="宋体" w:cs="宋体"/>
                      <w:kern w:val="0"/>
                      <w:sz w:val="24"/>
                      <w:szCs w:val="24"/>
                      <w:lang w:val="en-US" w:eastAsia="zh-CN"/>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a10信用信息查询结果</w:t>
                  </w:r>
                </w:p>
              </w:tc>
              <w:tc>
                <w:tcPr>
                  <w:tcW w:w="3654" w:type="dxa"/>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a11投标保证金</w:t>
                  </w:r>
                </w:p>
              </w:tc>
              <w:tc>
                <w:tcPr>
                  <w:tcW w:w="3654" w:type="dxa"/>
                  <w:vAlign w:val="center"/>
                </w:tcPr>
                <w:p>
                  <w:pPr>
                    <w:rPr>
                      <w:rFonts w:hint="eastAsia" w:ascii="宋体"/>
                      <w:sz w:val="24"/>
                      <w:szCs w:val="24"/>
                    </w:rPr>
                  </w:pPr>
                </w:p>
              </w:tc>
            </w:tr>
          </w:tbl>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4"/>
              <w:widowControl/>
              <w:spacing w:before="0" w:beforeAutospacing="0" w:after="0" w:afterAutospacing="0"/>
              <w:ind w:left="0" w:right="0"/>
            </w:pPr>
            <w:r>
              <w:rPr>
                <w:rStyle w:val="6"/>
                <w:rFonts w:hint="eastAsia" w:ascii="宋体" w:hAnsi="宋体" w:eastAsia="宋体" w:cs="宋体"/>
                <w:spacing w:val="0"/>
                <w:sz w:val="21"/>
                <w:szCs w:val="21"/>
                <w:shd w:val="clear" w:color="050000" w:fill="FFFFFF"/>
              </w:rPr>
              <w:t>包：1</w:t>
            </w:r>
            <w:r>
              <w:rPr>
                <w:rFonts w:hint="eastAsia" w:ascii="宋体" w:hAnsi="宋体" w:eastAsia="宋体" w:cs="宋体"/>
                <w:spacing w:val="0"/>
                <w:sz w:val="21"/>
                <w:szCs w:val="21"/>
                <w:shd w:val="clear" w:color="040000" w:fill="FFFFFF"/>
              </w:rPr>
              <w:t xml:space="preserve"> </w:t>
            </w:r>
          </w:p>
          <w:tbl>
            <w:tblPr>
              <w:tblStyle w:val="8"/>
              <w:tblW w:w="664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0"/>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2990" w:type="dxa"/>
                  <w:vAlign w:val="center"/>
                </w:tcPr>
                <w:p>
                  <w:pPr>
                    <w:widowControl/>
                    <w:jc w:val="center"/>
                    <w:rPr>
                      <w:b/>
                    </w:rPr>
                  </w:pPr>
                  <w:r>
                    <w:rPr>
                      <w:rFonts w:ascii="宋体" w:hAnsi="宋体" w:eastAsia="宋体" w:cs="宋体"/>
                      <w:b/>
                      <w:kern w:val="0"/>
                      <w:sz w:val="24"/>
                      <w:szCs w:val="24"/>
                      <w:lang w:val="en-US" w:eastAsia="zh-CN"/>
                    </w:rPr>
                    <w:t>明细</w:t>
                  </w:r>
                </w:p>
              </w:tc>
              <w:tc>
                <w:tcPr>
                  <w:tcW w:w="3654" w:type="dxa"/>
                  <w:vAlign w:val="center"/>
                </w:tcPr>
                <w:p>
                  <w:pPr>
                    <w:widowControl/>
                    <w:jc w:val="center"/>
                    <w:rPr>
                      <w:b/>
                    </w:rPr>
                  </w:pPr>
                  <w:r>
                    <w:rPr>
                      <w:rFonts w:ascii="宋体" w:hAnsi="宋体" w:eastAsia="宋体" w:cs="宋体"/>
                      <w:b/>
                      <w:kern w:val="0"/>
                      <w:sz w:val="24"/>
                      <w:szCs w:val="24"/>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90" w:type="dxa"/>
                  <w:vAlign w:val="center"/>
                </w:tcPr>
                <w:p>
                  <w:pPr>
                    <w:widowControl/>
                    <w:jc w:val="left"/>
                  </w:pPr>
                  <w:r>
                    <w:rPr>
                      <w:rFonts w:ascii="宋体" w:hAnsi="宋体" w:eastAsia="宋体" w:cs="宋体"/>
                      <w:kern w:val="0"/>
                      <w:sz w:val="24"/>
                      <w:szCs w:val="24"/>
                      <w:lang w:val="en-US" w:eastAsia="zh-CN"/>
                    </w:rPr>
                    <w:t>其他资格证明文件</w:t>
                  </w:r>
                </w:p>
              </w:tc>
              <w:tc>
                <w:tcPr>
                  <w:tcW w:w="3654" w:type="dxa"/>
                  <w:vAlign w:val="center"/>
                </w:tcPr>
                <w:p>
                  <w:pPr>
                    <w:widowControl/>
                    <w:jc w:val="left"/>
                  </w:pPr>
                  <w:r>
                    <w:rPr>
                      <w:rFonts w:ascii="宋体" w:hAnsi="宋体" w:eastAsia="宋体" w:cs="宋体"/>
                      <w:sz w:val="24"/>
                      <w:szCs w:val="24"/>
                    </w:rPr>
                    <w:t>响应人应为获得国家有关部门批准, 具有能源管理体系认证或辅导评价业务范围的独立法人单位（响应人需提供相关证明材料）。一个集团公司只允许一家独立法人单位参加本项目磋商(响应人需提供其集团总部出具的本项目唯一响应人确认函)。</w:t>
                  </w:r>
                  <w:bookmarkStart w:id="0" w:name="_GoBack"/>
                  <w:bookmarkEnd w:id="0"/>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3.2.2</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是否接受联合体形式的响应磋商：</w:t>
            </w:r>
            <w:r>
              <w:rPr>
                <w:rFonts w:hint="eastAsia" w:ascii="宋体" w:hAnsi="宋体" w:eastAsia="宋体" w:cs="宋体"/>
                <w:spacing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6.3</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是否组织现场考察或召开磋商前答疑会：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9.1</w:t>
            </w:r>
          </w:p>
        </w:tc>
        <w:tc>
          <w:tcPr>
            <w:tcW w:w="6885" w:type="dxa"/>
            <w:tcMar>
              <w:top w:w="0" w:type="dxa"/>
              <w:left w:w="105" w:type="dxa"/>
              <w:bottom w:w="0" w:type="dxa"/>
              <w:right w:w="105" w:type="dxa"/>
            </w:tcMar>
            <w:vAlign w:val="center"/>
          </w:tcPr>
          <w:p>
            <w:pPr>
              <w:pStyle w:val="4"/>
              <w:widowControl/>
              <w:spacing w:before="0" w:beforeAutospacing="0" w:after="0" w:afterAutospacing="0"/>
              <w:ind w:left="0" w:right="0"/>
            </w:pPr>
            <w:r>
              <w:rPr>
                <w:rStyle w:val="6"/>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10.1</w:t>
            </w:r>
          </w:p>
        </w:tc>
        <w:tc>
          <w:tcPr>
            <w:tcW w:w="6885"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提交磋商保证金：</w:t>
            </w:r>
          </w:p>
          <w:p>
            <w:pPr>
              <w:pStyle w:val="4"/>
              <w:widowControl/>
              <w:spacing w:before="0" w:beforeAutospacing="0" w:after="0" w:afterAutospacing="0" w:line="435" w:lineRule="atLeast"/>
              <w:ind w:left="0" w:right="0"/>
            </w:pPr>
            <w:r>
              <w:rPr>
                <w:spacing w:val="0"/>
                <w:sz w:val="24"/>
                <w:szCs w:val="24"/>
              </w:rPr>
              <w:t>本项目的磋商保证金详见《采购标的一览表》，数额不得超过采购项目预算金额的2%，提交方式为</w:t>
            </w:r>
            <w:r>
              <w:rPr>
                <w:spacing w:val="0"/>
                <w:sz w:val="24"/>
                <w:szCs w:val="24"/>
                <w:u w:val="single"/>
              </w:rPr>
              <w:t>公对公转账或电汇</w:t>
            </w:r>
            <w:r>
              <w:rPr>
                <w:spacing w:val="0"/>
                <w:sz w:val="24"/>
                <w:szCs w:val="24"/>
              </w:rPr>
              <w:t>，须于提交响应文件截止时间前到达指定账户为准，是否到达以</w:t>
            </w:r>
            <w:r>
              <w:rPr>
                <w:spacing w:val="0"/>
                <w:sz w:val="24"/>
                <w:szCs w:val="24"/>
                <w:u w:val="single"/>
              </w:rPr>
              <w:t>电子平台查询</w:t>
            </w:r>
            <w:r>
              <w:rPr>
                <w:spacing w:val="0"/>
                <w:sz w:val="24"/>
                <w:szCs w:val="24"/>
              </w:rPr>
              <w:t>为准；</w:t>
            </w:r>
          </w:p>
          <w:p>
            <w:pPr>
              <w:pStyle w:val="4"/>
              <w:widowControl/>
              <w:spacing w:before="0" w:beforeAutospacing="0" w:after="0" w:afterAutospacing="0" w:line="435" w:lineRule="atLeast"/>
              <w:ind w:left="0" w:right="0"/>
            </w:pPr>
            <w:r>
              <w:rPr>
                <w:spacing w:val="0"/>
                <w:sz w:val="24"/>
                <w:szCs w:val="24"/>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10.3.1</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磋商保证金退还的其它要求：</w:t>
            </w:r>
          </w:p>
          <w:p>
            <w:pPr>
              <w:pStyle w:val="4"/>
              <w:widowControl/>
              <w:spacing w:before="0" w:beforeAutospacing="0" w:after="0" w:afterAutospacing="0" w:line="435" w:lineRule="atLeast"/>
              <w:ind w:left="0" w:right="0"/>
            </w:pPr>
            <w:r>
              <w:rPr>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11.1</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响应文件的份数</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4"/>
              <w:widowControl/>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spacing w:val="0"/>
                <w:sz w:val="24"/>
                <w:szCs w:val="24"/>
                <w:u w:val="single"/>
              </w:rPr>
              <w:t>5</w:t>
            </w:r>
            <w:r>
              <w:rPr>
                <w:rFonts w:hint="eastAsia" w:ascii="宋体" w:hAnsi="宋体" w:eastAsia="宋体" w:cs="宋体"/>
                <w:spacing w:val="0"/>
                <w:sz w:val="24"/>
                <w:szCs w:val="24"/>
              </w:rPr>
              <w:t>份。</w:t>
            </w:r>
          </w:p>
          <w:p>
            <w:pPr>
              <w:pStyle w:val="4"/>
              <w:widowControl/>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4"/>
              <w:widowControl/>
              <w:spacing w:before="0" w:beforeAutospacing="0" w:after="0" w:afterAutospacing="0"/>
              <w:ind w:left="0" w:right="0"/>
            </w:pPr>
            <w:r>
              <w:rPr>
                <w:rFonts w:hint="eastAsia" w:ascii="宋体" w:hAnsi="宋体" w:eastAsia="宋体" w:cs="宋体"/>
                <w:spacing w:val="0"/>
                <w:sz w:val="24"/>
                <w:szCs w:val="24"/>
              </w:rPr>
              <w:t>（2）电子响应文件：详见表2《关于电子竞争性磋商活动的专门规定》</w:t>
            </w:r>
          </w:p>
          <w:p>
            <w:pPr>
              <w:pStyle w:val="4"/>
              <w:widowControl/>
              <w:spacing w:before="0" w:beforeAutospacing="0" w:after="0" w:afterAutospacing="0" w:line="435" w:lineRule="atLeast"/>
              <w:ind w:left="0" w:right="0"/>
            </w:pPr>
            <w:r>
              <w:rPr>
                <w:rFonts w:ascii="Calibri" w:hAnsi="Calibri" w:cs="Calibri"/>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14.4</w:t>
            </w:r>
          </w:p>
        </w:tc>
        <w:tc>
          <w:tcPr>
            <w:tcW w:w="6885"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磋商过程中可能发生实质性变动的内容：</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14.9</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952" w:type="dxa"/>
            <w:tcMar>
              <w:top w:w="0" w:type="dxa"/>
              <w:left w:w="105" w:type="dxa"/>
              <w:bottom w:w="0" w:type="dxa"/>
              <w:right w:w="105" w:type="dxa"/>
            </w:tcMar>
            <w:vAlign w:val="center"/>
          </w:tcPr>
          <w:p>
            <w:pPr>
              <w:pStyle w:val="4"/>
              <w:widowControl/>
              <w:wordWrap w:val="0"/>
              <w:spacing w:before="0" w:beforeAutospacing="0" w:after="0" w:afterAutospacing="0" w:line="435" w:lineRule="atLeast"/>
              <w:ind w:left="0" w:right="0"/>
            </w:pP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根据采购项目的特点和需要，需要加以详细说明的其他磋商程序规定、要求等内容</w:t>
            </w:r>
            <w:r>
              <w:rPr>
                <w:rFonts w:hint="eastAsia" w:ascii="宋体" w:hAnsi="宋体" w:eastAsia="宋体" w:cs="宋体"/>
                <w:spacing w:val="0"/>
                <w:sz w:val="24"/>
                <w:szCs w:val="24"/>
              </w:rPr>
              <w:t>：</w:t>
            </w:r>
          </w:p>
          <w:p>
            <w:pPr>
              <w:pStyle w:val="4"/>
              <w:widowControl/>
              <w:spacing w:before="0" w:beforeAutospacing="0" w:after="0" w:afterAutospacing="0" w:line="435" w:lineRule="atLeast"/>
              <w:ind w:left="0" w:right="0"/>
            </w:pPr>
            <w:r>
              <w:rPr>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22.2</w:t>
            </w:r>
          </w:p>
        </w:tc>
        <w:tc>
          <w:tcPr>
            <w:tcW w:w="6885" w:type="dxa"/>
            <w:tcMar>
              <w:top w:w="0" w:type="dxa"/>
              <w:left w:w="105" w:type="dxa"/>
              <w:bottom w:w="0" w:type="dxa"/>
              <w:right w:w="105" w:type="dxa"/>
            </w:tcMar>
            <w:vAlign w:val="top"/>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信息公告指定媒体（以下简称：“指定媒体”）：</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 (1)中国政府采购网，网址</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"http://www.ccgp.gov.cn/" </w:instrText>
            </w:r>
            <w:r>
              <w:rPr>
                <w:rFonts w:hint="eastAsia" w:ascii="宋体" w:hAnsi="宋体" w:eastAsia="宋体" w:cs="宋体"/>
                <w:spacing w:val="0"/>
                <w:sz w:val="24"/>
                <w:szCs w:val="24"/>
              </w:rPr>
              <w:fldChar w:fldCharType="separate"/>
            </w:r>
            <w:r>
              <w:rPr>
                <w:rStyle w:val="7"/>
                <w:rFonts w:hint="eastAsia" w:ascii="宋体" w:hAnsi="宋体" w:eastAsia="宋体" w:cs="宋体"/>
                <w:spacing w:val="0"/>
                <w:sz w:val="24"/>
                <w:szCs w:val="24"/>
              </w:rPr>
              <w:t>http://www.ccgp.gov.cn</w:t>
            </w:r>
            <w:r>
              <w:rPr>
                <w:rFonts w:hint="eastAsia" w:ascii="宋体" w:hAnsi="宋体" w:eastAsia="宋体" w:cs="宋体"/>
                <w:spacing w:val="0"/>
                <w:sz w:val="24"/>
                <w:szCs w:val="24"/>
              </w:rPr>
              <w:fldChar w:fldCharType="end"/>
            </w:r>
            <w:r>
              <w:t>。</w:t>
            </w:r>
          </w:p>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 (2)中国政府采购网福建分网（福建省政府采购网），网址</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"http://cz.fjzfcg.gov.cn/" </w:instrText>
            </w:r>
            <w:r>
              <w:rPr>
                <w:rFonts w:hint="eastAsia" w:ascii="宋体" w:hAnsi="宋体" w:eastAsia="宋体" w:cs="宋体"/>
                <w:spacing w:val="0"/>
                <w:sz w:val="24"/>
                <w:szCs w:val="24"/>
              </w:rPr>
              <w:fldChar w:fldCharType="separate"/>
            </w:r>
            <w:r>
              <w:rPr>
                <w:rStyle w:val="7"/>
                <w:rFonts w:hint="eastAsia" w:ascii="宋体" w:hAnsi="宋体" w:eastAsia="宋体" w:cs="宋体"/>
                <w:spacing w:val="0"/>
                <w:sz w:val="24"/>
                <w:szCs w:val="24"/>
              </w:rPr>
              <w:t>http://cz.fjzfcg.gov.cn</w:t>
            </w:r>
            <w:r>
              <w:rPr>
                <w:rFonts w:hint="eastAsia" w:ascii="宋体" w:hAnsi="宋体" w:eastAsia="宋体" w:cs="宋体"/>
                <w:spacing w:val="0"/>
                <w:sz w:val="24"/>
                <w:szCs w:val="24"/>
              </w:rPr>
              <w:fldChar w:fldCharType="end"/>
            </w:r>
            <w:r>
              <w:t>。</w:t>
            </w:r>
          </w:p>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12</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23.1</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本项目监督管理部门：</w:t>
            </w:r>
            <w:r>
              <w:rPr>
                <w:rFonts w:hint="eastAsia" w:ascii="宋体" w:hAnsi="宋体" w:eastAsia="宋体" w:cs="宋体"/>
                <w:spacing w:val="0"/>
                <w:sz w:val="24"/>
                <w:szCs w:val="24"/>
              </w:rPr>
              <w:t>福建省财政厅。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13</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24.1</w:t>
            </w:r>
          </w:p>
        </w:tc>
        <w:tc>
          <w:tcPr>
            <w:tcW w:w="6885"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Style w:val="6"/>
                <w:rFonts w:hint="eastAsia" w:ascii="宋体" w:hAnsi="宋体" w:eastAsia="宋体" w:cs="宋体"/>
                <w:spacing w:val="0"/>
                <w:sz w:val="24"/>
                <w:szCs w:val="24"/>
              </w:rPr>
              <w:t>履约保证金：</w:t>
            </w:r>
          </w:p>
          <w:p>
            <w:pPr>
              <w:pStyle w:val="4"/>
              <w:widowControl/>
              <w:spacing w:before="0" w:beforeAutospacing="0" w:after="0" w:afterAutospacing="0" w:line="435" w:lineRule="atLeast"/>
              <w:ind w:left="0" w:right="0"/>
            </w:pPr>
            <w:r>
              <w:rPr>
                <w:spacing w:val="0"/>
                <w:sz w:val="24"/>
                <w:szCs w:val="24"/>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 w:hRule="atLeast"/>
          <w:tblCellSpacing w:w="15" w:type="dxa"/>
        </w:trPr>
        <w:tc>
          <w:tcPr>
            <w:tcW w:w="629" w:type="dxa"/>
            <w:tcMar>
              <w:top w:w="0" w:type="dxa"/>
              <w:left w:w="105" w:type="dxa"/>
              <w:bottom w:w="0" w:type="dxa"/>
              <w:right w:w="105" w:type="dxa"/>
            </w:tcMar>
            <w:vAlign w:val="center"/>
          </w:tcPr>
          <w:p>
            <w:pPr>
              <w:pStyle w:val="4"/>
              <w:widowControl/>
              <w:spacing w:before="0" w:beforeAutospacing="0" w:after="0" w:afterAutospacing="0" w:line="435" w:lineRule="atLeast"/>
              <w:ind w:left="0" w:right="0"/>
              <w:jc w:val="center"/>
            </w:pPr>
            <w:r>
              <w:rPr>
                <w:rFonts w:hint="eastAsia" w:ascii="宋体" w:hAnsi="宋体" w:eastAsia="宋体" w:cs="宋体"/>
                <w:spacing w:val="0"/>
                <w:sz w:val="24"/>
                <w:szCs w:val="24"/>
              </w:rPr>
              <w:t>14</w:t>
            </w:r>
          </w:p>
        </w:tc>
        <w:tc>
          <w:tcPr>
            <w:tcW w:w="952" w:type="dxa"/>
            <w:tcMar>
              <w:top w:w="0" w:type="dxa"/>
              <w:left w:w="105" w:type="dxa"/>
              <w:bottom w:w="0" w:type="dxa"/>
              <w:right w:w="105" w:type="dxa"/>
            </w:tcMar>
            <w:vAlign w:val="center"/>
          </w:tcPr>
          <w:p>
            <w:pPr>
              <w:pStyle w:val="4"/>
              <w:widowControl/>
              <w:spacing w:before="0" w:beforeAutospacing="0" w:after="0" w:afterAutospacing="0" w:line="435" w:lineRule="atLeast"/>
              <w:ind w:left="0" w:right="0"/>
            </w:pPr>
            <w:r>
              <w:rPr>
                <w:rFonts w:hint="eastAsia" w:ascii="宋体" w:hAnsi="宋体" w:eastAsia="宋体" w:cs="宋体"/>
                <w:spacing w:val="0"/>
                <w:sz w:val="24"/>
                <w:szCs w:val="24"/>
              </w:rPr>
              <w:t>25</w:t>
            </w:r>
          </w:p>
        </w:tc>
        <w:tc>
          <w:tcPr>
            <w:tcW w:w="6885" w:type="dxa"/>
            <w:tcMar>
              <w:top w:w="0" w:type="dxa"/>
              <w:left w:w="105" w:type="dxa"/>
              <w:bottom w:w="0" w:type="dxa"/>
              <w:right w:w="105" w:type="dxa"/>
            </w:tcMar>
            <w:vAlign w:val="center"/>
          </w:tcPr>
          <w:p>
            <w:pPr>
              <w:pStyle w:val="4"/>
              <w:widowControl/>
              <w:wordWrap w:val="0"/>
              <w:spacing w:before="0" w:beforeAutospacing="0" w:after="0" w:afterAutospacing="0" w:line="435" w:lineRule="atLeast"/>
              <w:ind w:left="0" w:right="0"/>
            </w:pPr>
            <w:r>
              <w:rPr>
                <w:rStyle w:val="6"/>
                <w:rFonts w:hint="eastAsia" w:ascii="宋体" w:hAnsi="宋体" w:eastAsia="宋体" w:cs="宋体"/>
                <w:spacing w:val="0"/>
                <w:sz w:val="24"/>
                <w:szCs w:val="24"/>
              </w:rPr>
              <w:t>根据采购项目特点或政策需要补充的其他新增内容：</w:t>
            </w:r>
          </w:p>
          <w:p>
            <w:pPr>
              <w:pStyle w:val="4"/>
              <w:widowControl/>
              <w:wordWrap w:val="0"/>
              <w:spacing w:before="0" w:beforeAutospacing="0" w:after="0" w:afterAutospacing="0" w:line="435" w:lineRule="atLeast"/>
              <w:ind w:left="0" w:right="0"/>
            </w:pPr>
            <w:r>
              <w:rPr>
                <w:rFonts w:hint="eastAsia" w:ascii="宋体" w:hAnsi="宋体" w:eastAsia="宋体" w:cs="宋体"/>
                <w:spacing w:val="0"/>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采购人支付代理服务费。</w:t>
            </w:r>
          </w:p>
          <w:p>
            <w:pPr>
              <w:pStyle w:val="4"/>
              <w:widowControl/>
              <w:wordWrap w:val="0"/>
              <w:spacing w:before="0" w:beforeAutospacing="0" w:after="0" w:afterAutospacing="0" w:line="435" w:lineRule="atLeast"/>
              <w:ind w:left="0" w:right="0"/>
            </w:pPr>
            <w:r>
              <w:rPr>
                <w:rFonts w:hint="eastAsia" w:ascii="宋体" w:hAnsi="宋体" w:eastAsia="宋体" w:cs="宋体"/>
                <w:spacing w:val="0"/>
                <w:sz w:val="24"/>
                <w:szCs w:val="24"/>
              </w:rPr>
              <w:t>2、其他：</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按照成交金额，以差额定率累进法收取代理费用，收费标准参照国家计委“计价格【2002】1980号”文标准执行。</w:t>
            </w:r>
          </w:p>
          <w:p>
            <w:pPr>
              <w:pStyle w:val="4"/>
              <w:widowControl/>
              <w:wordWrap w:val="0"/>
              <w:spacing w:before="0" w:beforeAutospacing="0" w:after="0" w:afterAutospacing="0"/>
              <w:ind w:left="0" w:right="0"/>
            </w:pPr>
            <w:r>
              <w:rPr>
                <w:rStyle w:val="6"/>
                <w:rFonts w:hint="eastAsia" w:ascii="宋体" w:hAnsi="宋体" w:eastAsia="宋体" w:cs="宋体"/>
                <w:spacing w:val="0"/>
                <w:sz w:val="24"/>
                <w:szCs w:val="24"/>
                <w:u w:val="single"/>
              </w:rPr>
              <w:t>※若有与电子竞争性磋商活动有关的规定及内容应在表2中填写，不在此处填写</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tc>
      </w:tr>
    </w:tbl>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8"/>
          <w:szCs w:val="28"/>
        </w:rPr>
        <w:t>表2</w:t>
      </w:r>
    </w:p>
    <w:tbl>
      <w:tblPr>
        <w:tblStyle w:val="8"/>
        <w:tblW w:w="851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4"/>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459" w:type="dxa"/>
            <w:gridSpan w:val="2"/>
            <w:tcMar>
              <w:top w:w="0" w:type="dxa"/>
              <w:left w:w="105" w:type="dxa"/>
              <w:bottom w:w="0" w:type="dxa"/>
              <w:right w:w="105" w:type="dxa"/>
            </w:tcMar>
            <w:vAlign w:val="center"/>
          </w:tcPr>
          <w:p>
            <w:pPr>
              <w:pStyle w:val="4"/>
              <w:widowControl/>
              <w:spacing w:before="0" w:beforeAutospacing="0" w:after="0" w:afterAutospacing="0"/>
              <w:ind w:left="0" w:right="0"/>
              <w:jc w:val="center"/>
            </w:pPr>
            <w:r>
              <w:rPr>
                <w:rStyle w:val="6"/>
                <w:rFonts w:hint="eastAsia" w:ascii="宋体" w:hAnsi="宋体" w:eastAsia="宋体" w:cs="宋体"/>
                <w:spacing w:val="0"/>
                <w:sz w:val="28"/>
                <w:szCs w:val="28"/>
              </w:rPr>
              <w:t>关于电子竞争性磋商活动的专门规定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39"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8"/>
                <w:szCs w:val="28"/>
              </w:rPr>
              <w:t>序号</w:t>
            </w:r>
          </w:p>
        </w:tc>
        <w:tc>
          <w:tcPr>
            <w:tcW w:w="7890"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39"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8"/>
                <w:szCs w:val="28"/>
              </w:rPr>
              <w:t>1</w:t>
            </w:r>
          </w:p>
        </w:tc>
        <w:tc>
          <w:tcPr>
            <w:tcW w:w="7890" w:type="dxa"/>
            <w:tcMar>
              <w:top w:w="0" w:type="dxa"/>
              <w:left w:w="105" w:type="dxa"/>
              <w:bottom w:w="0" w:type="dxa"/>
              <w:right w:w="105" w:type="dxa"/>
            </w:tcMar>
            <w:vAlign w:val="center"/>
          </w:tcPr>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）磋商文件中除下述第（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）款所述之外的内容及其规定适用本项目的电子竞争性磋商活动。</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）将磋商文件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6"/>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后适用本项目的电子竞争性磋商活动。</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6"/>
                <w:rFonts w:hint="eastAsia" w:ascii="宋体" w:hAnsi="宋体" w:eastAsia="宋体" w:cs="宋体"/>
                <w:spacing w:val="0"/>
                <w:sz w:val="24"/>
                <w:szCs w:val="24"/>
              </w:rPr>
              <w:t>增列为</w:t>
            </w:r>
            <w:r>
              <w:rPr>
                <w:rFonts w:hint="eastAsia" w:ascii="宋体" w:hAnsi="宋体" w:eastAsia="宋体" w:cs="宋体"/>
                <w:spacing w:val="0"/>
                <w:sz w:val="24"/>
                <w:szCs w:val="24"/>
              </w:rPr>
              <w:t>磋商文件的组成部分（以下简称：“增列内容”）适用本项目的电子竞争性磋商活动，若增列内容与磋商文件其他章节内容不一致，应以增列内容为准：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①电子竞争性磋商活动的具体操作流程以福建省政府采购网上公开信息系统设定的为准。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6"/>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⑤供应商应按照福建省政府采购网上公开信息系统要求的评审节点编制电子响应文件，否则</w:t>
            </w:r>
            <w:r>
              <w:rPr>
                <w:rStyle w:val="6"/>
                <w:rFonts w:hint="eastAsia" w:ascii="宋体" w:hAnsi="宋体" w:eastAsia="宋体" w:cs="宋体"/>
                <w:spacing w:val="0"/>
                <w:sz w:val="24"/>
                <w:szCs w:val="24"/>
              </w:rPr>
              <w:t>磋商小组将按照不利于供应商的内容进行认定</w:t>
            </w:r>
            <w:r>
              <w:rPr>
                <w:rFonts w:hint="eastAsia" w:ascii="宋体" w:hAnsi="宋体" w:eastAsia="宋体" w:cs="宋体"/>
                <w:spacing w:val="0"/>
                <w:sz w:val="24"/>
                <w:szCs w:val="24"/>
              </w:rPr>
              <w:t>。</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⑥关于证明材料或资料：</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a.磋商文件要求原件的，供应商在电子响应文件中可提供复印件或扫描件，但在纸质响应文件正本中应提供原件</w:t>
            </w:r>
            <w:r>
              <w:rPr>
                <w:rStyle w:val="6"/>
                <w:rFonts w:hint="eastAsia" w:ascii="宋体" w:hAnsi="宋体" w:eastAsia="宋体" w:cs="宋体"/>
                <w:spacing w:val="0"/>
                <w:sz w:val="24"/>
                <w:szCs w:val="24"/>
              </w:rPr>
              <w:t>（磋商小组将核对纸质响应文件正本，未提供原件的证明材料或资料将被视为无效）</w:t>
            </w:r>
            <w:r>
              <w:rPr>
                <w:rFonts w:hint="eastAsia" w:ascii="宋体" w:hAnsi="宋体" w:eastAsia="宋体" w:cs="宋体"/>
                <w:spacing w:val="0"/>
                <w:sz w:val="24"/>
                <w:szCs w:val="24"/>
              </w:rPr>
              <w:t>；磋商文件要求复印件的，供应商在纸质响应文件中提供原件、复印件、扫描件皆可；磋商文件对原件、复印件未作要求的，供应商在纸质响应文件中提供原件、复印件、扫描件皆可。</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6"/>
                <w:rFonts w:hint="eastAsia" w:ascii="宋体" w:hAnsi="宋体" w:eastAsia="宋体" w:cs="宋体"/>
                <w:spacing w:val="0"/>
                <w:sz w:val="24"/>
                <w:szCs w:val="24"/>
              </w:rPr>
              <w:t>（磋商小组将核对纸质响应文件正本，未提供原件的证明材料或资料将被视为无效）。</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6"/>
                <w:rFonts w:hint="eastAsia" w:ascii="宋体" w:hAnsi="宋体" w:eastAsia="宋体" w:cs="宋体"/>
                <w:spacing w:val="0"/>
                <w:sz w:val="24"/>
                <w:szCs w:val="24"/>
              </w:rPr>
              <w:t>视为未按照磋商文件规定提交供应商的资格及资信文件</w:t>
            </w:r>
            <w:r>
              <w:rPr>
                <w:rFonts w:hint="eastAsia" w:ascii="宋体" w:hAnsi="宋体" w:eastAsia="宋体" w:cs="宋体"/>
                <w:spacing w:val="0"/>
                <w:sz w:val="24"/>
                <w:szCs w:val="24"/>
              </w:rPr>
              <w:t>。此项审查磋商小组将核对纸质响应文件正本，并以纸质响应文件为准。</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⑦关于“全称”、“供应商代表签字”及“加盖单位公章”：</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a.在电子响应文件中，涉及“全称”和“供应商代表签字”的内容可使用打字录入方式完成。</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6"/>
                <w:rFonts w:hint="eastAsia" w:ascii="宋体" w:hAnsi="宋体" w:eastAsia="宋体" w:cs="宋体"/>
                <w:spacing w:val="0"/>
                <w:sz w:val="24"/>
                <w:szCs w:val="24"/>
              </w:rPr>
              <w:t>该响应文件无效，相应供应商的谈判将被否决。</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c.在电子响应文件中，若供应商按照本增列内容第⑦点第b项规定加盖其单位电子印章，则出现无全称、供应商代表未签字等情形，</w:t>
            </w:r>
            <w:r>
              <w:rPr>
                <w:rStyle w:val="6"/>
                <w:rFonts w:hint="eastAsia" w:ascii="宋体" w:hAnsi="宋体" w:eastAsia="宋体" w:cs="宋体"/>
                <w:spacing w:val="0"/>
                <w:sz w:val="24"/>
                <w:szCs w:val="24"/>
              </w:rPr>
              <w:t>不视为该响应文件无效。</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⑧磋商文件接受联合体方式且供应商为联合体的，供应商应以“联合体牵头方”完成电子响应的有关操作（包括但不限于：报名、提交磋商保证金、编制电子响应文件等）。</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⑨</w:t>
            </w:r>
            <w:r>
              <w:rPr>
                <w:rStyle w:val="6"/>
                <w:rFonts w:hint="eastAsia" w:ascii="宋体" w:hAnsi="宋体" w:eastAsia="宋体" w:cs="宋体"/>
                <w:spacing w:val="0"/>
                <w:sz w:val="24"/>
                <w:szCs w:val="24"/>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pStyle w:val="4"/>
              <w:widowControl/>
              <w:spacing w:before="0" w:beforeAutospacing="0" w:after="0" w:afterAutospacing="0" w:line="345" w:lineRule="atLeast"/>
              <w:ind w:left="0" w:right="0" w:firstLine="0"/>
            </w:pPr>
            <w:r>
              <w:rPr>
                <w:rFonts w:hint="eastAsia" w:ascii="宋体" w:hAnsi="宋体" w:eastAsia="宋体" w:cs="宋体"/>
                <w:spacing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4"/>
              <w:widowControl/>
              <w:spacing w:before="0" w:beforeAutospacing="0" w:after="0" w:afterAutospacing="0" w:line="345" w:lineRule="atLeast"/>
            </w:pPr>
            <w:r>
              <w:rPr>
                <w:rFonts w:hint="eastAsia" w:ascii="宋体" w:hAnsi="宋体" w:eastAsia="宋体" w:cs="宋体"/>
                <w:spacing w:val="0"/>
              </w:rPr>
              <w:t>⑾关于首次响应文件递交截止时间过后</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rPr>
              <w:t>a.被福建省政府采购网上公开信息系统判定为磋商保证金未提交（即未于首次响应文件递交截止时间前到磋商文件载明的报价保证金账户）的供应商，</w:t>
            </w:r>
            <w:r>
              <w:rPr>
                <w:rStyle w:val="6"/>
                <w:rFonts w:hint="eastAsia" w:ascii="宋体" w:hAnsi="宋体" w:eastAsia="宋体" w:cs="宋体"/>
                <w:spacing w:val="0"/>
              </w:rPr>
              <w:t>该响应文件无效，相应供应商的将被否决。</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rPr>
              <w:t>b.有下列情形之一的，视为供应商串通投标，</w:t>
            </w:r>
            <w:r>
              <w:rPr>
                <w:rStyle w:val="6"/>
                <w:rFonts w:hint="eastAsia" w:ascii="宋体" w:hAnsi="宋体" w:eastAsia="宋体" w:cs="宋体"/>
                <w:spacing w:val="0"/>
              </w:rPr>
              <w:t>该响应文件无效，相应供应商的报价将被否决：</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rPr>
              <w:t>b1不同供应商的电子响应文件被福建省政府采购网上公开信息系统判定为具有相同内部识别码；</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rPr>
              <w:t>b2不同供应商的</w:t>
            </w:r>
            <w:r>
              <w:rPr>
                <w:rFonts w:hint="eastAsia" w:ascii="宋体" w:hAnsi="宋体" w:eastAsia="宋体" w:cs="宋体"/>
              </w:rPr>
              <w:t>磋商保证金</w:t>
            </w:r>
            <w:r>
              <w:rPr>
                <w:rFonts w:hint="eastAsia" w:ascii="宋体" w:hAnsi="宋体" w:eastAsia="宋体" w:cs="宋体"/>
                <w:spacing w:val="0"/>
              </w:rPr>
              <w:t>被福建省政府采购网上公开信息系统判定为从同一单位或个人的账户转出；</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rPr>
              <w:t>b3供应商的磋商保证金被福建省政府采购网上公开信息系统判定为同一合同项下有其他供应商提交的磋商保证金。</w:t>
            </w:r>
          </w:p>
          <w:p>
            <w:pPr>
              <w:pStyle w:val="4"/>
              <w:widowControl/>
              <w:spacing w:before="0" w:beforeAutospacing="0" w:after="0" w:afterAutospacing="0"/>
            </w:pPr>
            <w:r>
              <w:rPr>
                <w:rFonts w:hint="eastAsia" w:ascii="宋体" w:hAnsi="宋体" w:eastAsia="宋体" w:cs="宋体"/>
                <w:spacing w:val="0"/>
              </w:rPr>
              <w:t>(12)其他：</w:t>
            </w:r>
            <w:r>
              <w:rPr>
                <w:spacing w:val="0"/>
              </w:rPr>
              <w:t>无。</w:t>
            </w:r>
            <w:r>
              <w:rPr>
                <w:rFonts w:hint="eastAsia" w:ascii="宋体" w:hAnsi="宋体" w:eastAsia="宋体" w:cs="宋体"/>
                <w:spacing w:val="0"/>
              </w:rPr>
              <w:t>。</w:t>
            </w:r>
          </w:p>
          <w:p>
            <w:pPr>
              <w:pStyle w:val="4"/>
              <w:widowControl/>
              <w:spacing w:before="0" w:beforeAutospacing="0" w:after="0" w:afterAutospacing="0" w:line="345" w:lineRule="atLeast"/>
            </w:pPr>
            <w:r>
              <w:rPr>
                <w:rFonts w:hint="eastAsia" w:ascii="宋体" w:hAnsi="宋体" w:eastAsia="宋体" w:cs="宋体"/>
                <w:spacing w:val="0"/>
              </w:rPr>
              <w:t>（与电子竞争性磋商活动有关的其他规定或补充内容可在此处填写）。</w:t>
            </w:r>
          </w:p>
        </w:tc>
      </w:tr>
    </w:tbl>
    <w:p>
      <w:pPr>
        <w:pStyle w:val="4"/>
        <w:widowControl/>
        <w:spacing w:before="75" w:beforeAutospacing="0" w:after="75" w:afterAutospacing="0" w:line="435" w:lineRule="atLeast"/>
        <w:ind w:left="0" w:right="0" w:firstLine="0"/>
        <w:rPr>
          <w:rStyle w:val="6"/>
          <w:rFonts w:hint="eastAsia" w:ascii="宋体" w:hAnsi="宋体" w:eastAsia="宋体" w:cs="宋体"/>
          <w:spacing w:val="0"/>
          <w:sz w:val="24"/>
          <w:szCs w:val="24"/>
        </w:rPr>
      </w:pPr>
      <w:r>
        <w:rPr>
          <w:rStyle w:val="6"/>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专项附件：      </w:t>
      </w:r>
      <w:r>
        <w:rPr>
          <w:rStyle w:val="6"/>
          <w:rFonts w:hint="eastAsia" w:ascii="宋体" w:hAnsi="宋体" w:eastAsia="宋体" w:cs="宋体"/>
          <w:spacing w:val="0"/>
          <w:sz w:val="31"/>
          <w:szCs w:val="31"/>
        </w:rPr>
        <w:t> 评审的标准和方法</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jc w:val="center"/>
      </w:pPr>
      <w:r>
        <w:rPr>
          <w:rStyle w:val="6"/>
          <w:rFonts w:hint="eastAsia" w:ascii="宋体" w:hAnsi="宋体" w:eastAsia="宋体" w:cs="宋体"/>
          <w:spacing w:val="0"/>
          <w:sz w:val="24"/>
          <w:szCs w:val="24"/>
        </w:rPr>
        <w:t>一、磋商小组</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1.1采购人根据项目的特点依法组建磋商小组。</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1.2磋商小组由采购人代表和评审专家两部分（以下简称“评委”）共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人由福建省政府采购评审专家库产生。技术复杂、专业性强的采购项目，评审专家中应当包含1名法律专家。</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1.3磋商小组负责具体磋商和评审事务，并按照下列原则依法独立履行有关职责：</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1.3.2评审应遵循公平、公正、科学、严谨和择优原则。</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1.3.3评审的依据是磋商文件和响应文件，磋商文件中没有规定的评审标准不得作为评审依据。</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1.3.4磋商小组应按照磋商文件规定推荐成交候选供应商或根据采购人的授权确定成交人。</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1.3.5评审应遵守下列评审纪律：</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④全体磋商小组成员应按照磋商文件规定进行评审，一切认定事项应查有实据且不得弄虚作假。</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⑤评审中应充分发扬民主，推荐成交人候选人或根据采购人授权确定成交人后要服从评审报告。</w:t>
      </w:r>
    </w:p>
    <w:p>
      <w:pPr>
        <w:pStyle w:val="4"/>
        <w:widowControl/>
        <w:spacing w:before="75" w:beforeAutospacing="0" w:after="75" w:afterAutospacing="0" w:line="420" w:lineRule="atLeast"/>
        <w:ind w:left="0" w:right="0" w:firstLine="480"/>
      </w:pPr>
      <w:r>
        <w:rPr>
          <w:rStyle w:val="6"/>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jc w:val="center"/>
      </w:pPr>
      <w:r>
        <w:rPr>
          <w:rFonts w:hint="eastAsia" w:ascii="宋体" w:hAnsi="宋体" w:eastAsia="宋体" w:cs="宋体"/>
          <w:spacing w:val="0"/>
          <w:sz w:val="24"/>
          <w:szCs w:val="24"/>
        </w:rPr>
        <w:t>二、</w:t>
      </w:r>
      <w:r>
        <w:rPr>
          <w:rStyle w:val="6"/>
          <w:rFonts w:hint="eastAsia" w:ascii="宋体" w:hAnsi="宋体" w:eastAsia="宋体" w:cs="宋体"/>
          <w:spacing w:val="0"/>
          <w:sz w:val="24"/>
          <w:szCs w:val="24"/>
        </w:rPr>
        <w:t>磋商程序</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2.1磋商程序按照磋商文件第二章第2节“竞争性磋商须知”第14 条“磋商程序以及评审标准和方法”的相关条款规定执行。</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4"/>
        <w:widowControl/>
        <w:spacing w:before="75" w:beforeAutospacing="0" w:after="75" w:afterAutospacing="0" w:line="420" w:lineRule="atLeast"/>
        <w:ind w:left="0" w:right="0" w:firstLine="240"/>
      </w:pPr>
      <w:r>
        <w:rPr>
          <w:spacing w:val="0"/>
          <w:sz w:val="24"/>
          <w:szCs w:val="24"/>
        </w:rPr>
        <w:t>无。</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2.3只有资格审查和实质性响应审查均合格且按规定提交最后报价的合格供应商才能参加综合评分。</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jc w:val="center"/>
      </w:pPr>
      <w:r>
        <w:rPr>
          <w:rStyle w:val="6"/>
          <w:rFonts w:hint="eastAsia" w:ascii="宋体" w:hAnsi="宋体" w:eastAsia="宋体" w:cs="宋体"/>
          <w:spacing w:val="0"/>
          <w:sz w:val="24"/>
          <w:szCs w:val="24"/>
        </w:rPr>
        <w:t>三、综合评分的标准和方法</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240"/>
      </w:pPr>
      <w:r>
        <w:rPr>
          <w:rFonts w:hint="eastAsia" w:ascii="宋体" w:hAnsi="宋体" w:eastAsia="宋体" w:cs="宋体"/>
          <w:spacing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4"/>
        <w:widowControl/>
        <w:spacing w:before="75" w:beforeAutospacing="0" w:after="75" w:afterAutospacing="0" w:line="420" w:lineRule="atLeast"/>
        <w:ind w:left="0" w:right="0" w:firstLine="465"/>
      </w:pPr>
      <w:r>
        <w:rPr>
          <w:rFonts w:hint="eastAsia" w:ascii="宋体" w:hAnsi="宋体" w:eastAsia="宋体" w:cs="宋体"/>
          <w:spacing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4"/>
        <w:widowControl/>
        <w:spacing w:before="75" w:beforeAutospacing="0" w:after="75" w:afterAutospacing="0" w:line="420" w:lineRule="atLeast"/>
        <w:ind w:left="0" w:right="0" w:firstLine="465"/>
      </w:pPr>
      <w:r>
        <w:rPr>
          <w:rFonts w:hint="eastAsia" w:ascii="宋体" w:hAnsi="宋体" w:eastAsia="宋体" w:cs="宋体"/>
          <w:spacing w:val="0"/>
          <w:sz w:val="24"/>
          <w:szCs w:val="24"/>
        </w:rPr>
        <w:t>3.3.2具体评审标准和方法：</w:t>
      </w:r>
    </w:p>
    <w:p>
      <w:pPr>
        <w:pStyle w:val="4"/>
        <w:widowControl/>
        <w:spacing w:before="0" w:beforeAutospacing="0" w:after="0" w:afterAutospacing="0" w:line="405" w:lineRule="atLeast"/>
        <w:ind w:left="0" w:right="0" w:firstLine="465"/>
      </w:pPr>
      <w:r>
        <w:rPr>
          <w:rFonts w:hint="eastAsia" w:ascii="宋体" w:hAnsi="宋体" w:eastAsia="宋体" w:cs="宋体"/>
          <w:spacing w:val="0"/>
          <w:sz w:val="24"/>
          <w:szCs w:val="24"/>
        </w:rPr>
        <w:t>（</w:t>
      </w:r>
      <w:r>
        <w:rPr>
          <w:rFonts w:hint="eastAsia" w:ascii="宋体" w:hAnsi="宋体" w:eastAsia="宋体" w:cs="宋体"/>
          <w:spacing w:val="0"/>
          <w:sz w:val="24"/>
          <w:szCs w:val="24"/>
          <w:u w:val="single"/>
        </w:rPr>
        <w:t>系统提示：服务项目的价格分值占总分值的比重(即权值)为10％至30％。采购项目中含不同采购对象的，以占项目资金比例最高的采购对象确定其项目属性。符合《政府采购竞争性磋商采购方式管理暂行办法》第三条第三项的规定和执行统一价格标准的项目，其价格不列为评分因素。有特殊情况需要在上述规定范围外设定价格分权重的，应当经本级人民政府财政部门审核同意。</w:t>
      </w:r>
      <w:r>
        <w:rPr>
          <w:rFonts w:hint="eastAsia" w:ascii="宋体" w:hAnsi="宋体" w:eastAsia="宋体" w:cs="宋体"/>
          <w:spacing w:val="0"/>
          <w:sz w:val="24"/>
          <w:szCs w:val="24"/>
        </w:rPr>
        <w:t>）</w:t>
      </w: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（3）各项评审因素的设置如下：</w:t>
      </w:r>
    </w:p>
    <w:p>
      <w:pPr>
        <w:pStyle w:val="4"/>
        <w:widowControl/>
        <w:spacing w:before="75" w:beforeAutospacing="0" w:after="75" w:afterAutospacing="0" w:line="405" w:lineRule="atLeast"/>
        <w:ind w:left="0" w:right="0" w:firstLine="480"/>
      </w:pPr>
      <w:r>
        <w:rPr>
          <w:spacing w:val="0"/>
          <w:sz w:val="24"/>
          <w:szCs w:val="24"/>
        </w:rPr>
        <w:t xml:space="preserve">包1 </w:t>
      </w:r>
    </w:p>
    <w:p>
      <w:pPr>
        <w:pStyle w:val="4"/>
        <w:widowControl/>
        <w:spacing w:line="420" w:lineRule="atLeast"/>
        <w:ind w:left="0" w:firstLine="480"/>
      </w:pPr>
      <w:r>
        <w:rPr>
          <w:rFonts w:hint="eastAsia" w:ascii="宋体" w:hAnsi="宋体" w:eastAsia="宋体" w:cs="宋体"/>
          <w:b/>
        </w:rPr>
        <w:t>（一）</w:t>
      </w:r>
      <w:r>
        <w:rPr>
          <w:rStyle w:val="6"/>
          <w:rFonts w:hint="eastAsia" w:ascii="宋体" w:hAnsi="宋体" w:eastAsia="宋体" w:cs="宋体"/>
        </w:rPr>
        <w:t>技术部分评分PT            满分</w:t>
      </w:r>
      <w:r>
        <w:rPr>
          <w:rStyle w:val="6"/>
          <w:rFonts w:hint="eastAsia" w:ascii="宋体" w:hAnsi="宋体" w:eastAsia="宋体" w:cs="宋体"/>
          <w:u w:val="single"/>
        </w:rPr>
        <w:t>65</w:t>
      </w:r>
      <w:r>
        <w:rPr>
          <w:rStyle w:val="6"/>
          <w:rFonts w:hint="eastAsia" w:ascii="宋体" w:hAnsi="宋体" w:eastAsia="宋体" w:cs="宋体"/>
        </w:rPr>
        <w:t>分</w:t>
      </w:r>
      <w:r>
        <w:t xml:space="preserve"> </w:t>
      </w:r>
    </w:p>
    <w:tbl>
      <w:tblPr>
        <w:tblStyle w:val="8"/>
        <w:tblW w:w="830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1"/>
        <w:gridCol w:w="456"/>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411" w:type="dxa"/>
            <w:vAlign w:val="center"/>
          </w:tcPr>
          <w:p>
            <w:pPr>
              <w:widowControl/>
              <w:jc w:val="left"/>
            </w:pPr>
            <w:r>
              <w:rPr>
                <w:rFonts w:ascii="宋体" w:hAnsi="宋体" w:eastAsia="宋体" w:cs="宋体"/>
                <w:kern w:val="0"/>
                <w:sz w:val="24"/>
                <w:szCs w:val="24"/>
                <w:lang w:val="en-US" w:eastAsia="zh-CN"/>
              </w:rPr>
              <w:t>评标项目</w:t>
            </w:r>
          </w:p>
        </w:tc>
        <w:tc>
          <w:tcPr>
            <w:tcW w:w="456" w:type="dxa"/>
            <w:vAlign w:val="center"/>
          </w:tcPr>
          <w:p>
            <w:pPr>
              <w:widowControl/>
              <w:jc w:val="left"/>
            </w:pPr>
            <w:r>
              <w:rPr>
                <w:rFonts w:ascii="宋体" w:hAnsi="宋体" w:eastAsia="宋体" w:cs="宋体"/>
                <w:kern w:val="0"/>
                <w:sz w:val="24"/>
                <w:szCs w:val="24"/>
                <w:lang w:val="en-US" w:eastAsia="zh-CN"/>
              </w:rPr>
              <w:t>评标分值</w:t>
            </w:r>
          </w:p>
        </w:tc>
        <w:tc>
          <w:tcPr>
            <w:tcW w:w="6433" w:type="dxa"/>
            <w:vAlign w:val="center"/>
          </w:tcPr>
          <w:p>
            <w:pPr>
              <w:widowControl/>
              <w:jc w:val="left"/>
            </w:pPr>
            <w:r>
              <w:rPr>
                <w:rFonts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restart"/>
            <w:vAlign w:val="center"/>
          </w:tcPr>
          <w:p>
            <w:pPr>
              <w:widowControl/>
              <w:jc w:val="left"/>
            </w:pPr>
            <w:r>
              <w:rPr>
                <w:rFonts w:ascii="宋体" w:hAnsi="宋体" w:eastAsia="宋体" w:cs="宋体"/>
                <w:kern w:val="0"/>
                <w:sz w:val="24"/>
                <w:szCs w:val="24"/>
                <w:lang w:val="en-US" w:eastAsia="zh-CN"/>
              </w:rPr>
              <w:t>项目辅导方案总体目标、设计思路</w:t>
            </w: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根据响应人制定的本项目辅导方案的总体目标、设计思路符合项目实际需求情况，由评委进行横向评议并在3～6分之间打分。（满分6分）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根据响应人制定的本项目辅导方案的合理性、逻辑性、可操作性等方面，由评委进行横向评议并在3～6分之间打分。（满分6分）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根据响应人制定的本项目辅导方案工作成果的预期性、明确性，由评委进行横向评议并在3～6分之间打分。（满分6分）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restart"/>
            <w:vAlign w:val="center"/>
          </w:tcPr>
          <w:p>
            <w:pPr>
              <w:widowControl/>
              <w:jc w:val="left"/>
            </w:pPr>
            <w:r>
              <w:rPr>
                <w:rFonts w:ascii="宋体" w:hAnsi="宋体" w:eastAsia="宋体" w:cs="宋体"/>
                <w:kern w:val="0"/>
                <w:sz w:val="24"/>
                <w:szCs w:val="24"/>
                <w:lang w:val="en-US" w:eastAsia="zh-CN"/>
              </w:rPr>
              <w:t>辅导工作分工、计划安排及进度保证</w:t>
            </w: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根据响应人针对本项目配备的辅导人员、分工及负责人等情况，由评委进行横向评议并在3～6分之间打分。（满分6分）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根据响应人针对本项目设计的辅导工作进度计划的完整性、可操作性、主要节点安排得当等情况，由评委进行横向评议并在3～6分之间打分。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根据响应人提出的项目进度保证措施，由评委进行横向评议并在3～6分之间打分。（满分6分）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restart"/>
            <w:vAlign w:val="center"/>
          </w:tcPr>
          <w:p>
            <w:pPr>
              <w:widowControl/>
              <w:jc w:val="left"/>
            </w:pPr>
            <w:r>
              <w:rPr>
                <w:rFonts w:ascii="宋体" w:hAnsi="宋体" w:eastAsia="宋体" w:cs="宋体"/>
                <w:kern w:val="0"/>
                <w:sz w:val="24"/>
                <w:szCs w:val="24"/>
                <w:lang w:val="en-US" w:eastAsia="zh-CN"/>
              </w:rPr>
              <w:t>项目质量保证及服务保障</w:t>
            </w: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根据响应人针对本项目制定的质量保证体系、质量控制机制及可追溯性等方面，由评委进行横向评议并在3～6分之间打分。（满分6分）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根据响应人针对本项目制定的后续服务措施、服务体系等情况，由评委进行横向评议并在3～6分之间打分。（满分6分）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restart"/>
            <w:vAlign w:val="center"/>
          </w:tcPr>
          <w:p>
            <w:pPr>
              <w:widowControl/>
              <w:jc w:val="left"/>
            </w:pPr>
            <w:r>
              <w:rPr>
                <w:rFonts w:ascii="宋体" w:hAnsi="宋体" w:eastAsia="宋体" w:cs="宋体"/>
                <w:kern w:val="0"/>
                <w:sz w:val="24"/>
                <w:szCs w:val="24"/>
                <w:lang w:val="en-US" w:eastAsia="zh-CN"/>
              </w:rPr>
              <w:t>应急方案及场所、设施</w:t>
            </w:r>
          </w:p>
        </w:tc>
        <w:tc>
          <w:tcPr>
            <w:tcW w:w="456" w:type="dxa"/>
            <w:vAlign w:val="center"/>
          </w:tcPr>
          <w:p>
            <w:pPr>
              <w:widowControl/>
              <w:jc w:val="left"/>
            </w:pPr>
            <w:r>
              <w:rPr>
                <w:rFonts w:ascii="宋体" w:hAnsi="宋体" w:eastAsia="宋体" w:cs="宋体"/>
                <w:kern w:val="0"/>
                <w:sz w:val="24"/>
                <w:szCs w:val="24"/>
                <w:lang w:val="en-US" w:eastAsia="zh-CN"/>
              </w:rPr>
              <w:t>6</w:t>
            </w:r>
          </w:p>
        </w:tc>
        <w:tc>
          <w:tcPr>
            <w:tcW w:w="6433" w:type="dxa"/>
            <w:vAlign w:val="center"/>
          </w:tcPr>
          <w:p>
            <w:pPr>
              <w:widowControl/>
              <w:jc w:val="left"/>
            </w:pPr>
            <w:r>
              <w:rPr>
                <w:rFonts w:ascii="宋体" w:hAnsi="宋体" w:eastAsia="宋体" w:cs="宋体"/>
                <w:kern w:val="0"/>
                <w:sz w:val="24"/>
                <w:szCs w:val="24"/>
                <w:lang w:val="en-US" w:eastAsia="zh-CN"/>
              </w:rPr>
              <w:t>根据响应人制定的本项目应对突发状况的应急响应措施方案的可行性、合理性、科学性等方面，由评委进行横向评议并在3～6分之间打分。（满分6分）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Merge w:val="continue"/>
            <w:vAlign w:val="center"/>
          </w:tcPr>
          <w:p>
            <w:pPr>
              <w:rPr>
                <w:rFonts w:hint="eastAsia" w:ascii="宋体"/>
                <w:sz w:val="24"/>
                <w:szCs w:val="24"/>
              </w:rPr>
            </w:pPr>
          </w:p>
        </w:tc>
        <w:tc>
          <w:tcPr>
            <w:tcW w:w="456" w:type="dxa"/>
            <w:vAlign w:val="center"/>
          </w:tcPr>
          <w:p>
            <w:pPr>
              <w:widowControl/>
              <w:jc w:val="left"/>
            </w:pPr>
            <w:r>
              <w:rPr>
                <w:rFonts w:ascii="宋体" w:hAnsi="宋体" w:eastAsia="宋体" w:cs="宋体"/>
                <w:kern w:val="0"/>
                <w:sz w:val="24"/>
                <w:szCs w:val="24"/>
                <w:lang w:val="en-US" w:eastAsia="zh-CN"/>
              </w:rPr>
              <w:t>3</w:t>
            </w:r>
          </w:p>
        </w:tc>
        <w:tc>
          <w:tcPr>
            <w:tcW w:w="6433" w:type="dxa"/>
            <w:vAlign w:val="center"/>
          </w:tcPr>
          <w:p>
            <w:pPr>
              <w:widowControl/>
              <w:jc w:val="left"/>
            </w:pPr>
            <w:r>
              <w:rPr>
                <w:rFonts w:ascii="宋体" w:hAnsi="宋体" w:eastAsia="宋体" w:cs="宋体"/>
                <w:kern w:val="0"/>
                <w:sz w:val="24"/>
                <w:szCs w:val="24"/>
                <w:lang w:val="en-US" w:eastAsia="zh-CN"/>
              </w:rPr>
              <w:t>响应人具备应急工作所需的设施和办公条件的得1分；响应人在福建省内有固定办公场所的得2分。（须提供相关证明材料，否则此项不得分。上述2项得分可累加，满分3分）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Align w:val="center"/>
          </w:tcPr>
          <w:p>
            <w:pPr>
              <w:widowControl/>
              <w:jc w:val="left"/>
            </w:pPr>
            <w:r>
              <w:rPr>
                <w:rFonts w:ascii="宋体" w:hAnsi="宋体" w:eastAsia="宋体" w:cs="宋体"/>
                <w:kern w:val="0"/>
                <w:sz w:val="24"/>
                <w:szCs w:val="24"/>
                <w:lang w:val="en-US" w:eastAsia="zh-CN"/>
              </w:rPr>
              <w:t>集中培训方案</w:t>
            </w:r>
          </w:p>
        </w:tc>
        <w:tc>
          <w:tcPr>
            <w:tcW w:w="456" w:type="dxa"/>
            <w:vAlign w:val="center"/>
          </w:tcPr>
          <w:p>
            <w:pPr>
              <w:widowControl/>
              <w:jc w:val="left"/>
            </w:pPr>
            <w:r>
              <w:rPr>
                <w:rFonts w:ascii="宋体" w:hAnsi="宋体" w:eastAsia="宋体" w:cs="宋体"/>
                <w:kern w:val="0"/>
                <w:sz w:val="24"/>
                <w:szCs w:val="24"/>
                <w:lang w:val="en-US" w:eastAsia="zh-CN"/>
              </w:rPr>
              <w:t>4</w:t>
            </w:r>
          </w:p>
        </w:tc>
        <w:tc>
          <w:tcPr>
            <w:tcW w:w="6433" w:type="dxa"/>
            <w:vAlign w:val="center"/>
          </w:tcPr>
          <w:p>
            <w:pPr>
              <w:widowControl/>
              <w:jc w:val="left"/>
            </w:pPr>
            <w:r>
              <w:rPr>
                <w:rFonts w:ascii="宋体" w:hAnsi="宋体" w:eastAsia="宋体" w:cs="宋体"/>
                <w:kern w:val="0"/>
                <w:sz w:val="24"/>
                <w:szCs w:val="24"/>
                <w:lang w:val="en-US" w:eastAsia="zh-CN"/>
              </w:rPr>
              <w:t>在进企业进行一对一辅导之前，响应人需按地区召集要辅导的企业集中进行一次培训。根据响应人制定的集中培训方案的合理性、可操作性、完整性等方面，由评委进行横向评议并在1～4分之间打分。（满分4分）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411" w:type="dxa"/>
            <w:vAlign w:val="center"/>
          </w:tcPr>
          <w:p>
            <w:pPr>
              <w:widowControl/>
              <w:jc w:val="left"/>
            </w:pPr>
            <w:r>
              <w:rPr>
                <w:rFonts w:ascii="宋体" w:hAnsi="宋体" w:eastAsia="宋体" w:cs="宋体"/>
                <w:kern w:val="0"/>
                <w:sz w:val="24"/>
                <w:szCs w:val="24"/>
                <w:lang w:val="en-US" w:eastAsia="zh-CN"/>
              </w:rPr>
              <w:t>响应文件制作规范</w:t>
            </w:r>
          </w:p>
        </w:tc>
        <w:tc>
          <w:tcPr>
            <w:tcW w:w="456" w:type="dxa"/>
            <w:vAlign w:val="center"/>
          </w:tcPr>
          <w:p>
            <w:pPr>
              <w:widowControl/>
              <w:jc w:val="left"/>
            </w:pPr>
            <w:r>
              <w:rPr>
                <w:rFonts w:ascii="宋体" w:hAnsi="宋体" w:eastAsia="宋体" w:cs="宋体"/>
                <w:kern w:val="0"/>
                <w:sz w:val="24"/>
                <w:szCs w:val="24"/>
                <w:lang w:val="en-US" w:eastAsia="zh-CN"/>
              </w:rPr>
              <w:t>4</w:t>
            </w:r>
          </w:p>
        </w:tc>
        <w:tc>
          <w:tcPr>
            <w:tcW w:w="6433" w:type="dxa"/>
            <w:vAlign w:val="center"/>
          </w:tcPr>
          <w:p>
            <w:pPr>
              <w:widowControl/>
              <w:jc w:val="left"/>
            </w:pPr>
            <w:r>
              <w:rPr>
                <w:rFonts w:ascii="宋体" w:hAnsi="宋体" w:eastAsia="宋体" w:cs="宋体"/>
                <w:kern w:val="0"/>
                <w:sz w:val="24"/>
                <w:szCs w:val="24"/>
                <w:lang w:val="en-US" w:eastAsia="zh-CN"/>
              </w:rPr>
              <w:t>根据响应人响应文件制作规范、完整，提供符合要求的相关佐证材料等方面，由评委进行横向评议并在1～4分之间打分。（满分4分）</w:t>
            </w:r>
          </w:p>
        </w:tc>
      </w:tr>
    </w:tbl>
    <w:p>
      <w:pPr>
        <w:pStyle w:val="4"/>
        <w:widowControl/>
        <w:spacing w:line="420" w:lineRule="atLeast"/>
        <w:ind w:left="0" w:firstLine="480"/>
      </w:pPr>
      <w:r>
        <w:rPr>
          <w:rFonts w:hint="eastAsia" w:ascii="宋体" w:hAnsi="宋体" w:eastAsia="宋体" w:cs="宋体"/>
          <w:b/>
        </w:rPr>
        <w:t>（二）</w:t>
      </w:r>
      <w:r>
        <w:rPr>
          <w:rStyle w:val="6"/>
          <w:rFonts w:hint="eastAsia" w:ascii="宋体" w:hAnsi="宋体" w:eastAsia="宋体" w:cs="宋体"/>
        </w:rPr>
        <w:t>商务部分评分PB            满分</w:t>
      </w:r>
      <w:r>
        <w:rPr>
          <w:rStyle w:val="6"/>
          <w:rFonts w:hint="eastAsia" w:ascii="宋体" w:hAnsi="宋体" w:eastAsia="宋体" w:cs="宋体"/>
          <w:u w:val="single"/>
        </w:rPr>
        <w:t>20</w:t>
      </w:r>
      <w:r>
        <w:rPr>
          <w:rStyle w:val="6"/>
          <w:rFonts w:hint="eastAsia" w:ascii="宋体" w:hAnsi="宋体" w:eastAsia="宋体" w:cs="宋体"/>
        </w:rPr>
        <w:t>分</w:t>
      </w:r>
      <w:r>
        <w:t xml:space="preserve"> </w:t>
      </w:r>
    </w:p>
    <w:tbl>
      <w:tblPr>
        <w:tblStyle w:val="8"/>
        <w:tblW w:w="830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37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680" w:type="dxa"/>
            <w:vAlign w:val="center"/>
          </w:tcPr>
          <w:p>
            <w:pPr>
              <w:widowControl/>
              <w:jc w:val="left"/>
            </w:pPr>
            <w:r>
              <w:rPr>
                <w:rFonts w:ascii="宋体" w:hAnsi="宋体" w:eastAsia="宋体" w:cs="宋体"/>
                <w:kern w:val="0"/>
                <w:sz w:val="24"/>
                <w:szCs w:val="24"/>
                <w:lang w:val="en-US" w:eastAsia="zh-CN"/>
              </w:rPr>
              <w:t>评标项目</w:t>
            </w:r>
          </w:p>
        </w:tc>
        <w:tc>
          <w:tcPr>
            <w:tcW w:w="376" w:type="dxa"/>
            <w:vAlign w:val="center"/>
          </w:tcPr>
          <w:p>
            <w:pPr>
              <w:widowControl/>
              <w:jc w:val="left"/>
            </w:pPr>
            <w:r>
              <w:rPr>
                <w:rFonts w:ascii="宋体" w:hAnsi="宋体" w:eastAsia="宋体" w:cs="宋体"/>
                <w:kern w:val="0"/>
                <w:sz w:val="24"/>
                <w:szCs w:val="24"/>
                <w:lang w:val="en-US" w:eastAsia="zh-CN"/>
              </w:rPr>
              <w:t>评标分值</w:t>
            </w:r>
          </w:p>
        </w:tc>
        <w:tc>
          <w:tcPr>
            <w:tcW w:w="7244" w:type="dxa"/>
            <w:vAlign w:val="center"/>
          </w:tcPr>
          <w:p>
            <w:pPr>
              <w:widowControl/>
              <w:jc w:val="left"/>
            </w:pPr>
            <w:r>
              <w:rPr>
                <w:rFonts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Merge w:val="restart"/>
            <w:vAlign w:val="center"/>
          </w:tcPr>
          <w:p>
            <w:pPr>
              <w:widowControl/>
              <w:jc w:val="left"/>
            </w:pPr>
            <w:r>
              <w:rPr>
                <w:rFonts w:ascii="宋体" w:hAnsi="宋体" w:eastAsia="宋体" w:cs="宋体"/>
                <w:kern w:val="0"/>
                <w:sz w:val="24"/>
                <w:szCs w:val="24"/>
                <w:lang w:val="en-US" w:eastAsia="zh-CN"/>
              </w:rPr>
              <w:t>机构资质</w:t>
            </w:r>
          </w:p>
        </w:tc>
        <w:tc>
          <w:tcPr>
            <w:tcW w:w="376" w:type="dxa"/>
            <w:vAlign w:val="center"/>
          </w:tcPr>
          <w:p>
            <w:pPr>
              <w:widowControl/>
              <w:jc w:val="left"/>
            </w:pPr>
            <w:r>
              <w:rPr>
                <w:rFonts w:ascii="宋体" w:hAnsi="宋体" w:eastAsia="宋体" w:cs="宋体"/>
                <w:kern w:val="0"/>
                <w:sz w:val="24"/>
                <w:szCs w:val="24"/>
                <w:lang w:val="en-US" w:eastAsia="zh-CN"/>
              </w:rPr>
              <w:t>2</w:t>
            </w:r>
          </w:p>
        </w:tc>
        <w:tc>
          <w:tcPr>
            <w:tcW w:w="7244" w:type="dxa"/>
            <w:vAlign w:val="center"/>
          </w:tcPr>
          <w:p>
            <w:pPr>
              <w:widowControl/>
              <w:jc w:val="left"/>
            </w:pPr>
            <w:r>
              <w:rPr>
                <w:rFonts w:ascii="宋体" w:hAnsi="宋体" w:eastAsia="宋体" w:cs="宋体"/>
                <w:kern w:val="0"/>
                <w:sz w:val="24"/>
                <w:szCs w:val="24"/>
                <w:lang w:val="en-US" w:eastAsia="zh-CN"/>
              </w:rPr>
              <w:t>响应人是国家认证认可监督管理委员会、国家发展改革委联合发布的能源管理体系认证机构的，得2分。（须提供相关证明材料，否则本项不得分。）（满分2分）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Merge w:val="continue"/>
            <w:vAlign w:val="center"/>
          </w:tcPr>
          <w:p>
            <w:pPr>
              <w:rPr>
                <w:rFonts w:hint="eastAsia" w:ascii="宋体"/>
                <w:sz w:val="24"/>
                <w:szCs w:val="24"/>
              </w:rPr>
            </w:pPr>
          </w:p>
        </w:tc>
        <w:tc>
          <w:tcPr>
            <w:tcW w:w="376" w:type="dxa"/>
            <w:vAlign w:val="center"/>
          </w:tcPr>
          <w:p>
            <w:pPr>
              <w:widowControl/>
              <w:jc w:val="left"/>
            </w:pPr>
            <w:r>
              <w:rPr>
                <w:rFonts w:ascii="宋体" w:hAnsi="宋体" w:eastAsia="宋体" w:cs="宋体"/>
                <w:kern w:val="0"/>
                <w:sz w:val="24"/>
                <w:szCs w:val="24"/>
                <w:lang w:val="en-US" w:eastAsia="zh-CN"/>
              </w:rPr>
              <w:t>2</w:t>
            </w:r>
          </w:p>
        </w:tc>
        <w:tc>
          <w:tcPr>
            <w:tcW w:w="7244" w:type="dxa"/>
            <w:vAlign w:val="center"/>
          </w:tcPr>
          <w:p>
            <w:pPr>
              <w:widowControl/>
              <w:jc w:val="left"/>
            </w:pPr>
            <w:r>
              <w:rPr>
                <w:rFonts w:ascii="宋体" w:hAnsi="宋体" w:eastAsia="宋体" w:cs="宋体"/>
                <w:kern w:val="0"/>
                <w:sz w:val="24"/>
                <w:szCs w:val="24"/>
                <w:lang w:val="en-US" w:eastAsia="zh-CN"/>
              </w:rPr>
              <w:t>响应人（包括其集团总部、分公司、子公司或分中心）列入财政部、国家发展改革委公告的第三方节能量审核机构目录，或者列入工业和信息化部公布的工业节能与绿色发展评价中心名单的，得2分。（须提供相关证明材料，否则本项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Align w:val="center"/>
          </w:tcPr>
          <w:p>
            <w:pPr>
              <w:widowControl/>
              <w:jc w:val="left"/>
            </w:pPr>
            <w:r>
              <w:rPr>
                <w:rFonts w:ascii="宋体" w:hAnsi="宋体" w:eastAsia="宋体" w:cs="宋体"/>
                <w:kern w:val="0"/>
                <w:sz w:val="24"/>
                <w:szCs w:val="24"/>
                <w:lang w:val="en-US" w:eastAsia="zh-CN"/>
              </w:rPr>
              <w:t>本地化服务</w:t>
            </w:r>
          </w:p>
        </w:tc>
        <w:tc>
          <w:tcPr>
            <w:tcW w:w="376" w:type="dxa"/>
            <w:vAlign w:val="center"/>
          </w:tcPr>
          <w:p>
            <w:pPr>
              <w:widowControl/>
              <w:jc w:val="left"/>
            </w:pPr>
            <w:r>
              <w:rPr>
                <w:rFonts w:ascii="宋体" w:hAnsi="宋体" w:eastAsia="宋体" w:cs="宋体"/>
                <w:kern w:val="0"/>
                <w:sz w:val="24"/>
                <w:szCs w:val="24"/>
                <w:lang w:val="en-US" w:eastAsia="zh-CN"/>
              </w:rPr>
              <w:t>2</w:t>
            </w:r>
          </w:p>
        </w:tc>
        <w:tc>
          <w:tcPr>
            <w:tcW w:w="7244" w:type="dxa"/>
            <w:vAlign w:val="center"/>
          </w:tcPr>
          <w:p>
            <w:pPr>
              <w:widowControl/>
              <w:jc w:val="left"/>
            </w:pPr>
            <w:r>
              <w:rPr>
                <w:rFonts w:ascii="宋体" w:hAnsi="宋体" w:eastAsia="宋体" w:cs="宋体"/>
                <w:kern w:val="0"/>
                <w:sz w:val="24"/>
                <w:szCs w:val="24"/>
                <w:lang w:val="en-US" w:eastAsia="zh-CN"/>
              </w:rPr>
              <w:t>响应人在福建省内注册的机构或设立的分支机构（包括分公司、子公司、分中心等）拥有10名及以上聘用专业技术人员的得2分，拥有5～9名聘用专业技术人员的得1分，拥有1～4名聘用专业技术人员的得0.5分，没有的不得分。（须提供注册或设立分支机构的证明材料及投标截止时间半年内3个月以上单位缴纳的聘用人员福建省内社保证明。以上内容未提供或提供不全的均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Align w:val="center"/>
          </w:tcPr>
          <w:p>
            <w:pPr>
              <w:widowControl/>
              <w:jc w:val="left"/>
            </w:pPr>
            <w:r>
              <w:rPr>
                <w:rFonts w:ascii="宋体" w:hAnsi="宋体" w:eastAsia="宋体" w:cs="宋体"/>
                <w:kern w:val="0"/>
                <w:sz w:val="24"/>
                <w:szCs w:val="24"/>
                <w:lang w:val="en-US" w:eastAsia="zh-CN"/>
              </w:rPr>
              <w:t>课题设计或标准编写</w:t>
            </w:r>
          </w:p>
        </w:tc>
        <w:tc>
          <w:tcPr>
            <w:tcW w:w="376" w:type="dxa"/>
            <w:vAlign w:val="center"/>
          </w:tcPr>
          <w:p>
            <w:pPr>
              <w:widowControl/>
              <w:jc w:val="left"/>
            </w:pPr>
            <w:r>
              <w:rPr>
                <w:rFonts w:ascii="宋体" w:hAnsi="宋体" w:eastAsia="宋体" w:cs="宋体"/>
                <w:kern w:val="0"/>
                <w:sz w:val="24"/>
                <w:szCs w:val="24"/>
                <w:lang w:val="en-US" w:eastAsia="zh-CN"/>
              </w:rPr>
              <w:t>3</w:t>
            </w:r>
          </w:p>
        </w:tc>
        <w:tc>
          <w:tcPr>
            <w:tcW w:w="7244" w:type="dxa"/>
            <w:vAlign w:val="center"/>
          </w:tcPr>
          <w:p>
            <w:pPr>
              <w:widowControl/>
              <w:jc w:val="left"/>
            </w:pPr>
            <w:r>
              <w:rPr>
                <w:rFonts w:ascii="宋体" w:hAnsi="宋体" w:eastAsia="宋体" w:cs="宋体"/>
                <w:kern w:val="0"/>
                <w:sz w:val="24"/>
                <w:szCs w:val="24"/>
                <w:lang w:val="en-US" w:eastAsia="zh-CN"/>
              </w:rPr>
              <w:t>响应人（包括其集团总部、分公司、子公司或分中心）或者其技术负责人承担过省级及以上能源管理体系、用能权、节能量及绿色制造等相关政策制度设计或标准编写的，提供3个及以上课题或标准的得3分，提供2个课题或标准的得2分，提供1个课题或标准的得1分，不能提供的不得分。（须提供相关证明材料，否则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Align w:val="center"/>
          </w:tcPr>
          <w:p>
            <w:pPr>
              <w:widowControl/>
              <w:jc w:val="left"/>
            </w:pPr>
            <w:r>
              <w:rPr>
                <w:rFonts w:ascii="宋体" w:hAnsi="宋体" w:eastAsia="宋体" w:cs="宋体"/>
                <w:kern w:val="0"/>
                <w:sz w:val="24"/>
                <w:szCs w:val="24"/>
                <w:lang w:val="en-US" w:eastAsia="zh-CN"/>
              </w:rPr>
              <w:t>能源管理体系服务经验</w:t>
            </w:r>
          </w:p>
        </w:tc>
        <w:tc>
          <w:tcPr>
            <w:tcW w:w="376" w:type="dxa"/>
            <w:vAlign w:val="center"/>
          </w:tcPr>
          <w:p>
            <w:pPr>
              <w:widowControl/>
              <w:jc w:val="left"/>
            </w:pPr>
            <w:r>
              <w:rPr>
                <w:rFonts w:ascii="宋体" w:hAnsi="宋体" w:eastAsia="宋体" w:cs="宋体"/>
                <w:kern w:val="0"/>
                <w:sz w:val="24"/>
                <w:szCs w:val="24"/>
                <w:lang w:val="en-US" w:eastAsia="zh-CN"/>
              </w:rPr>
              <w:t>3</w:t>
            </w:r>
          </w:p>
        </w:tc>
        <w:tc>
          <w:tcPr>
            <w:tcW w:w="7244" w:type="dxa"/>
            <w:vAlign w:val="center"/>
          </w:tcPr>
          <w:p>
            <w:pPr>
              <w:widowControl/>
              <w:jc w:val="left"/>
            </w:pPr>
            <w:r>
              <w:rPr>
                <w:rFonts w:ascii="宋体" w:hAnsi="宋体" w:eastAsia="宋体" w:cs="宋体"/>
                <w:kern w:val="0"/>
                <w:sz w:val="24"/>
                <w:szCs w:val="24"/>
                <w:lang w:val="en-US" w:eastAsia="zh-CN"/>
              </w:rPr>
              <w:t>响应人（包括其集团总部、分公司、子公司或分中心）为企业提供能源管理体系初始认证、监督认证和再认证等第三方认证服务的，提供100家次及以上服务的得3分，50～99家次的得2分，50家次以下的得1分。（须提供有效获证企业名单等相关证明材料及查询方法，以便抽验，否则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Align w:val="center"/>
          </w:tcPr>
          <w:p>
            <w:pPr>
              <w:widowControl/>
              <w:jc w:val="left"/>
            </w:pPr>
            <w:r>
              <w:rPr>
                <w:rFonts w:ascii="宋体" w:hAnsi="宋体" w:eastAsia="宋体" w:cs="宋体"/>
                <w:kern w:val="0"/>
                <w:sz w:val="24"/>
                <w:szCs w:val="24"/>
                <w:lang w:val="en-US" w:eastAsia="zh-CN"/>
              </w:rPr>
              <w:t>节能技改财政奖励项目经验</w:t>
            </w:r>
          </w:p>
        </w:tc>
        <w:tc>
          <w:tcPr>
            <w:tcW w:w="376" w:type="dxa"/>
            <w:vAlign w:val="center"/>
          </w:tcPr>
          <w:p>
            <w:pPr>
              <w:widowControl/>
              <w:jc w:val="left"/>
            </w:pPr>
            <w:r>
              <w:rPr>
                <w:rFonts w:ascii="宋体" w:hAnsi="宋体" w:eastAsia="宋体" w:cs="宋体"/>
                <w:kern w:val="0"/>
                <w:sz w:val="24"/>
                <w:szCs w:val="24"/>
                <w:lang w:val="en-US" w:eastAsia="zh-CN"/>
              </w:rPr>
              <w:t>3</w:t>
            </w:r>
          </w:p>
        </w:tc>
        <w:tc>
          <w:tcPr>
            <w:tcW w:w="7244" w:type="dxa"/>
            <w:vAlign w:val="center"/>
          </w:tcPr>
          <w:p>
            <w:pPr>
              <w:widowControl/>
              <w:jc w:val="left"/>
            </w:pPr>
            <w:r>
              <w:rPr>
                <w:rFonts w:ascii="宋体" w:hAnsi="宋体" w:eastAsia="宋体" w:cs="宋体"/>
                <w:kern w:val="0"/>
                <w:sz w:val="24"/>
                <w:szCs w:val="24"/>
                <w:lang w:val="en-US" w:eastAsia="zh-CN"/>
              </w:rPr>
              <w:t>响应人（包括其集团总部、分公司、子公司或分中心）承担过政府委托实施的节能技改（包括合同能源管理）财政奖励项目节能量第三方审核的，提供50个及以上项目的得3分，提供20～49个的得2分，提供20个以下的得1分。（须提供相关证明材料，否则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Merge w:val="restart"/>
            <w:vAlign w:val="center"/>
          </w:tcPr>
          <w:p>
            <w:pPr>
              <w:widowControl/>
              <w:jc w:val="left"/>
            </w:pPr>
            <w:r>
              <w:rPr>
                <w:rFonts w:ascii="宋体" w:hAnsi="宋体" w:eastAsia="宋体" w:cs="宋体"/>
                <w:kern w:val="0"/>
                <w:sz w:val="24"/>
                <w:szCs w:val="24"/>
                <w:lang w:val="en-US" w:eastAsia="zh-CN"/>
              </w:rPr>
              <w:t>辅导团队能力</w:t>
            </w:r>
          </w:p>
        </w:tc>
        <w:tc>
          <w:tcPr>
            <w:tcW w:w="376" w:type="dxa"/>
            <w:vAlign w:val="center"/>
          </w:tcPr>
          <w:p>
            <w:pPr>
              <w:widowControl/>
              <w:jc w:val="left"/>
            </w:pPr>
            <w:r>
              <w:rPr>
                <w:rFonts w:ascii="宋体" w:hAnsi="宋体" w:eastAsia="宋体" w:cs="宋体"/>
                <w:kern w:val="0"/>
                <w:sz w:val="24"/>
                <w:szCs w:val="24"/>
                <w:lang w:val="en-US" w:eastAsia="zh-CN"/>
              </w:rPr>
              <w:t>2</w:t>
            </w:r>
          </w:p>
        </w:tc>
        <w:tc>
          <w:tcPr>
            <w:tcW w:w="7244" w:type="dxa"/>
            <w:vAlign w:val="center"/>
          </w:tcPr>
          <w:p>
            <w:pPr>
              <w:widowControl/>
              <w:jc w:val="left"/>
            </w:pPr>
            <w:r>
              <w:rPr>
                <w:rFonts w:ascii="宋体" w:hAnsi="宋体" w:eastAsia="宋体" w:cs="宋体"/>
                <w:kern w:val="0"/>
                <w:sz w:val="24"/>
                <w:szCs w:val="24"/>
                <w:lang w:val="en-US" w:eastAsia="zh-CN"/>
              </w:rPr>
              <w:t>响应人拟担任本项目技术负责人具有高级工程师及以上职称的得2分。（须提供相关职称证书证明文件及投标截止时间半年内3个月以上单位缴纳的社保证明。以上内容未提供或提供不全的均不得分）（满分2分）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80" w:type="dxa"/>
            <w:vMerge w:val="continue"/>
            <w:vAlign w:val="center"/>
          </w:tcPr>
          <w:p>
            <w:pPr>
              <w:rPr>
                <w:rFonts w:hint="eastAsia" w:ascii="宋体"/>
                <w:sz w:val="24"/>
                <w:szCs w:val="24"/>
              </w:rPr>
            </w:pPr>
          </w:p>
        </w:tc>
        <w:tc>
          <w:tcPr>
            <w:tcW w:w="376" w:type="dxa"/>
            <w:vAlign w:val="center"/>
          </w:tcPr>
          <w:p>
            <w:pPr>
              <w:widowControl/>
              <w:jc w:val="left"/>
            </w:pPr>
            <w:r>
              <w:rPr>
                <w:rFonts w:ascii="宋体" w:hAnsi="宋体" w:eastAsia="宋体" w:cs="宋体"/>
                <w:kern w:val="0"/>
                <w:sz w:val="24"/>
                <w:szCs w:val="24"/>
                <w:lang w:val="en-US" w:eastAsia="zh-CN"/>
              </w:rPr>
              <w:t>3</w:t>
            </w:r>
          </w:p>
        </w:tc>
        <w:tc>
          <w:tcPr>
            <w:tcW w:w="7244" w:type="dxa"/>
            <w:vAlign w:val="center"/>
          </w:tcPr>
          <w:p>
            <w:pPr>
              <w:widowControl/>
              <w:jc w:val="left"/>
            </w:pPr>
            <w:r>
              <w:rPr>
                <w:rFonts w:ascii="宋体" w:hAnsi="宋体" w:eastAsia="宋体" w:cs="宋体"/>
                <w:kern w:val="0"/>
                <w:sz w:val="24"/>
                <w:szCs w:val="24"/>
                <w:lang w:val="en-US" w:eastAsia="zh-CN"/>
              </w:rPr>
              <w:t>响应人拟担任本项目的辅导人员是经国家CCAA（中国认证认可协会）注册的能源管理体系审核员的或者是获得国家发展改革委颁发的企业节能低碳行动教师资格证书的，具有5名及以上的得3分，1～4名的得2分，没有的不得分。（须提供证书等证明文件，及提供相关人员投标截止时间半年内3个月以上单位缴纳的社保证明。）（满分3分）</w:t>
            </w:r>
          </w:p>
        </w:tc>
      </w:tr>
    </w:tbl>
    <w:p>
      <w:pPr>
        <w:pStyle w:val="4"/>
        <w:widowControl/>
        <w:spacing w:line="420" w:lineRule="atLeast"/>
        <w:ind w:left="0" w:firstLine="480"/>
      </w:pPr>
      <w:r>
        <w:rPr>
          <w:rStyle w:val="6"/>
          <w:rFonts w:hint="eastAsia" w:ascii="宋体" w:hAnsi="宋体" w:eastAsia="宋体" w:cs="宋体"/>
        </w:rPr>
        <w:t>（三）报价部分评分PF            满分</w:t>
      </w:r>
      <w:r>
        <w:rPr>
          <w:rStyle w:val="6"/>
          <w:rFonts w:hint="eastAsia" w:ascii="宋体" w:hAnsi="宋体" w:eastAsia="宋体" w:cs="宋体"/>
          <w:u w:val="single"/>
        </w:rPr>
        <w:t>15</w:t>
      </w:r>
      <w:r>
        <w:rPr>
          <w:rStyle w:val="6"/>
          <w:rFonts w:hint="eastAsia" w:ascii="宋体" w:hAnsi="宋体" w:eastAsia="宋体" w:cs="宋体"/>
        </w:rPr>
        <w:t>分</w:t>
      </w:r>
      <w:r>
        <w:t xml:space="preserve"> </w:t>
      </w:r>
    </w:p>
    <w:p>
      <w:pPr>
        <w:pStyle w:val="4"/>
        <w:widowControl/>
        <w:spacing w:line="420" w:lineRule="atLeast"/>
        <w:ind w:left="0" w:firstLine="480"/>
      </w:pPr>
      <w:r>
        <w:rPr>
          <w:rFonts w:hint="eastAsia" w:ascii="宋体" w:hAnsi="宋体" w:eastAsia="宋体" w:cs="宋体"/>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t xml:space="preserve"> </w:t>
      </w:r>
    </w:p>
    <w:p>
      <w:pPr>
        <w:pStyle w:val="4"/>
        <w:widowControl/>
        <w:spacing w:line="420" w:lineRule="atLeast"/>
        <w:ind w:left="0" w:firstLine="480"/>
      </w:pPr>
      <w:r>
        <w:rPr>
          <w:rStyle w:val="6"/>
          <w:rFonts w:hint="eastAsia" w:ascii="宋体" w:hAnsi="宋体" w:eastAsia="宋体" w:cs="宋体"/>
        </w:rPr>
        <w:t>（四）根据政府采购政策可享有的加分优惠评分PE</w:t>
      </w:r>
      <w:r>
        <w:t xml:space="preserve"> </w:t>
      </w:r>
      <w:r>
        <w:br w:type="textWrapping"/>
      </w:r>
      <w:r>
        <w:rPr>
          <w:rStyle w:val="6"/>
          <w:sz w:val="24"/>
          <w:szCs w:val="24"/>
        </w:rPr>
        <w:t>         无</w:t>
      </w:r>
    </w:p>
    <w:p>
      <w:pPr>
        <w:pStyle w:val="4"/>
        <w:widowControl/>
        <w:spacing w:line="420" w:lineRule="atLeast"/>
        <w:ind w:left="0" w:firstLine="480"/>
      </w:pPr>
      <w:r>
        <w:rPr>
          <w:rStyle w:val="6"/>
          <w:rFonts w:hint="eastAsia" w:ascii="宋体" w:hAnsi="宋体" w:eastAsia="宋体" w:cs="宋体"/>
        </w:rPr>
        <w:t>（五）价格扣除部分</w:t>
      </w:r>
      <w:r>
        <w:t xml:space="preserve"> </w:t>
      </w:r>
    </w:p>
    <w:tbl>
      <w:tblPr>
        <w:tblStyle w:val="8"/>
        <w:tblW w:w="830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59" w:type="dxa"/>
            <w:vAlign w:val="center"/>
          </w:tcPr>
          <w:p>
            <w:pPr>
              <w:widowControl/>
              <w:jc w:val="left"/>
            </w:pPr>
            <w:r>
              <w:rPr>
                <w:rFonts w:ascii="宋体" w:hAnsi="宋体" w:eastAsia="宋体" w:cs="宋体"/>
                <w:kern w:val="0"/>
                <w:sz w:val="24"/>
                <w:szCs w:val="24"/>
                <w:lang w:val="en-US" w:eastAsia="zh-CN"/>
              </w:rPr>
              <w:t>评标项目</w:t>
            </w:r>
          </w:p>
        </w:tc>
        <w:tc>
          <w:tcPr>
            <w:tcW w:w="7142" w:type="dxa"/>
            <w:vAlign w:val="center"/>
          </w:tcPr>
          <w:p>
            <w:pPr>
              <w:widowControl/>
              <w:jc w:val="left"/>
            </w:pPr>
            <w:r>
              <w:rPr>
                <w:rFonts w:ascii="宋体" w:hAnsi="宋体" w:eastAsia="宋体" w:cs="宋体"/>
                <w:kern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59" w:type="dxa"/>
            <w:vAlign w:val="center"/>
          </w:tcPr>
          <w:p>
            <w:pPr>
              <w:widowControl/>
              <w:jc w:val="left"/>
            </w:pPr>
            <w:r>
              <w:rPr>
                <w:rFonts w:ascii="宋体" w:hAnsi="宋体" w:eastAsia="宋体" w:cs="宋体"/>
                <w:kern w:val="0"/>
                <w:sz w:val="24"/>
                <w:szCs w:val="24"/>
                <w:lang w:val="en-US" w:eastAsia="zh-CN"/>
              </w:rPr>
              <w:t>小型、微型企业，监狱企业，残疾人</w:t>
            </w:r>
          </w:p>
        </w:tc>
        <w:tc>
          <w:tcPr>
            <w:tcW w:w="7142" w:type="dxa"/>
            <w:vAlign w:val="center"/>
          </w:tcPr>
          <w:p>
            <w:pPr>
              <w:widowControl/>
              <w:jc w:val="left"/>
            </w:pPr>
            <w:r>
              <w:rPr>
                <w:rFonts w:ascii="宋体" w:hAnsi="宋体" w:eastAsia="宋体" w:cs="宋体"/>
                <w:kern w:val="0"/>
                <w:sz w:val="24"/>
                <w:szCs w:val="24"/>
                <w:lang w:val="en-US" w:eastAsia="zh-CN"/>
              </w:rPr>
              <w:t>残疾人福利性单位提供本单位制造的货物、承担的工程或服务，或提供其他残疾人福利性单位制造的货物（不包括使用非残疾人福利性单位注册商标的货物），对相应货物、工程或服务的价格给予6%的扣除。符合条件的残疾人福利性单位参加采购活动时，应提供《残疾人福利性单位声明函》，并对声明的真实性负责。</w:t>
            </w:r>
          </w:p>
        </w:tc>
      </w:tr>
    </w:tbl>
    <w:p>
      <w:pPr>
        <w:pStyle w:val="4"/>
        <w:widowControl/>
      </w:pP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（4）成交候选供应商排列规则顺序和并列相同时的处理约定如下：</w:t>
      </w: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a.成交候选供应商按照综合评审总得分（FA）由高到低顺序排列推荐。</w:t>
      </w:r>
    </w:p>
    <w:p>
      <w:pPr>
        <w:pStyle w:val="4"/>
        <w:widowControl/>
        <w:spacing w:before="75" w:beforeAutospacing="0" w:after="75" w:afterAutospacing="0" w:line="405" w:lineRule="atLeast"/>
        <w:ind w:left="0" w:right="0" w:firstLine="480"/>
      </w:pPr>
      <w:r>
        <w:rPr>
          <w:rFonts w:hint="eastAsia" w:ascii="宋体" w:hAnsi="宋体" w:eastAsia="宋体" w:cs="宋体"/>
          <w:spacing w:val="0"/>
          <w:sz w:val="24"/>
          <w:szCs w:val="24"/>
        </w:rPr>
        <w:t>b.综合评审总得分（FA）相同的，按照经评审最后磋商报价（即经政府采购优惠政策进行价格扣除后的最后报价）由低到高顺序推荐。</w:t>
      </w:r>
    </w:p>
    <w:p>
      <w:pPr>
        <w:pStyle w:val="4"/>
        <w:widowControl/>
        <w:spacing w:before="0" w:beforeAutospacing="0" w:after="0" w:afterAutospacing="0" w:line="405" w:lineRule="atLeast"/>
        <w:ind w:left="0" w:right="0" w:firstLine="465"/>
      </w:pPr>
      <w:r>
        <w:rPr>
          <w:rFonts w:hint="eastAsia" w:ascii="宋体" w:hAnsi="宋体" w:eastAsia="宋体" w:cs="宋体"/>
          <w:spacing w:val="0"/>
          <w:sz w:val="24"/>
          <w:szCs w:val="24"/>
        </w:rPr>
        <w:t>c.综合评审总得分（FA）且经评审最后磋商报价（即经政府采购优惠政策进行价格扣除后的最后报价）仍然相同的，按照技术指标优劣顺序推荐。</w:t>
      </w:r>
    </w:p>
    <w:p>
      <w:pPr>
        <w:pStyle w:val="4"/>
        <w:widowControl/>
        <w:spacing w:before="0" w:beforeAutospacing="0" w:after="0" w:afterAutospacing="0" w:line="405" w:lineRule="atLeast"/>
        <w:ind w:left="0" w:right="0" w:firstLine="465"/>
      </w:pPr>
      <w:r>
        <w:rPr>
          <w:rFonts w:hint="eastAsia" w:ascii="宋体" w:hAnsi="宋体" w:eastAsia="宋体" w:cs="宋体"/>
          <w:spacing w:val="0"/>
          <w:sz w:val="24"/>
          <w:szCs w:val="24"/>
        </w:rPr>
        <w:t>d.经前述顺序处理仍然并列相同的，则通过随机抽取方式确定优先顺序推荐。</w:t>
      </w:r>
    </w:p>
    <w:p>
      <w:pPr>
        <w:pStyle w:val="4"/>
        <w:widowControl/>
        <w:spacing w:before="75" w:beforeAutospacing="0" w:after="75" w:afterAutospacing="0" w:line="420" w:lineRule="atLeast"/>
        <w:ind w:left="0" w:right="0" w:firstLine="465"/>
      </w:pPr>
      <w:r>
        <w:rPr>
          <w:spacing w:val="0"/>
          <w:sz w:val="24"/>
          <w:szCs w:val="24"/>
        </w:rPr>
        <w:t> </w:t>
      </w:r>
    </w:p>
    <w:p>
      <w:pPr>
        <w:pStyle w:val="4"/>
        <w:widowControl/>
        <w:spacing w:before="75" w:beforeAutospacing="0" w:after="75" w:afterAutospacing="0" w:line="420"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jc w:val="center"/>
      </w:pPr>
      <w:r>
        <w:rPr>
          <w:rStyle w:val="6"/>
          <w:rFonts w:hint="eastAsia" w:ascii="宋体" w:hAnsi="宋体" w:eastAsia="宋体" w:cs="宋体"/>
          <w:spacing w:val="0"/>
          <w:sz w:val="24"/>
          <w:szCs w:val="24"/>
        </w:rPr>
        <w:t>四、评审报告</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4.1磋商小组完成评审后，应当编写评审报告并提交给采购人。</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4.2评审报告应当包括以下主要内容：</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（一）邀请供应商参加采购活动的具体方式和相关情况；</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（二）响应文件开启日期和地点；</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（三）获取磋商文件的供应商名单和磋商小组成员名单；</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（四）评审情况记录和说明，包括对供应商的资格审查情况、供应商响应文件评审情况、磋商情况、报价情况等；</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（五）提出的成交候选供应商的排序名单及理由。</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jc w:val="center"/>
      </w:pPr>
      <w:r>
        <w:rPr>
          <w:rStyle w:val="6"/>
          <w:rFonts w:hint="eastAsia" w:ascii="宋体" w:hAnsi="宋体" w:eastAsia="宋体" w:cs="宋体"/>
          <w:spacing w:val="0"/>
          <w:sz w:val="24"/>
          <w:szCs w:val="24"/>
        </w:rPr>
        <w:t>五、其他规定</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5.1其他规定</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5.1.3若供应商有任何试图干扰具体评审事务，影响磋商小组独立履行职责的行为，其响应无效且不予退还磋商保证金。情节严重的，由财政部门列入不良行为记录。</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5.1.4根据采购项目的特点和需要，需要加以详细说明的其他磋商程序规定、要求等内容：</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无。</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240" w:afterAutospacing="0" w:line="435" w:lineRule="atLeast"/>
        <w:ind w:left="0" w:right="0" w:firstLine="0"/>
      </w:pPr>
      <w:r>
        <w:rPr>
          <w:spacing w:val="0"/>
          <w:sz w:val="24"/>
          <w:szCs w:val="24"/>
        </w:rPr>
        <w:t> </w:t>
      </w:r>
    </w:p>
    <w:p>
      <w:pPr>
        <w:widowControl/>
        <w:jc w:val="left"/>
      </w:pPr>
      <w:r>
        <w:rPr>
          <w:rFonts w:ascii="宋体" w:hAnsi="宋体" w:eastAsia="宋体" w:cs="宋体"/>
          <w:kern w:val="0"/>
          <w:sz w:val="24"/>
          <w:szCs w:val="24"/>
          <w:lang w:val="en-US" w:eastAsia="zh-CN"/>
        </w:rPr>
        <w:t> </w:t>
      </w:r>
    </w:p>
    <w:p>
      <w:pPr>
        <w:pStyle w:val="4"/>
        <w:widowControl/>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1"/>
          <w:szCs w:val="31"/>
        </w:rPr>
        <w:t>第2节 竞争性磋商须知</w:t>
      </w:r>
      <w:r>
        <w:rPr>
          <w:rStyle w:val="6"/>
          <w:rFonts w:hint="eastAsia" w:ascii="宋体" w:hAnsi="宋体" w:eastAsia="宋体" w:cs="宋体"/>
          <w:spacing w:val="0"/>
          <w:sz w:val="36"/>
          <w:szCs w:val="36"/>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一、总则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1.适用范围：</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1.1适用于磋商文件载明项目的采购活动（以下简称：“本次采购活动”）。</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2.定义及要求：</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2.1“采购标的”指磋商文件载明的需要采购的货物、服务、工程。</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2.3“潜在供应商”按照磋商文件第一章规定进行报名，且有意向参加本项目响应磋商的供应商。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2.4“供应商”指按照磋商文件第一章规定进行报名，且已经提交响应文件的法人或其他组织或自然人。只有适合自然人参与和承接的政府采购项目，供应商才可以是自然人。</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3.合格的</w:t>
      </w:r>
      <w:r>
        <w:rPr>
          <w:spacing w:val="0"/>
          <w:sz w:val="24"/>
          <w:szCs w:val="24"/>
        </w:rPr>
        <w:t>供应商</w:t>
      </w:r>
      <w:r>
        <w:rPr>
          <w:rStyle w:val="6"/>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6"/>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6"/>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Style w:val="6"/>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3.2.1供应商的资格要求：详见竞争性磋商须知前附表第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3.2.2是否接受联合体形式的响应磋商：详见竞争性磋商须知前附表第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项。若接受联合体形式且供应商为联合体，则联合体各方除了应遵守本章第3.1条规定外，还应遵守下列规定：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（1）联合体各方应提交联合体协议，联合体协议应符合磋商文件规定。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（2）联合体各方不得再单独参加或与其他供应商另外组成联合体参加同一合同项下的响应磋商。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4.参与竞争性磋商费用：</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4.1除法律法规或采购文件另有规定之外，供应商应自行承担其准备与参加竞争性磋商所涉及的一切费用。</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二、竞争性磋商文件</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5.竞争性磋商文件的组成：</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5.1竞争性磋商文件由下述部分组成：</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竞争性磋商须知</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5.2除上述内容以外，采购人、采购代理机构或者磋商小组在采购过程期间对磋商文件所作的澄清、修改或补充，均构成磋商文件的组成部分，对采购人和供应商具有约束力。</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6.竞争性磋商文件的澄清、补充、修改及现场考察等：</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三、响应文件编制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7.应标要求</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7.2供应商代表在同一个合同项下只能接受一个供应商的委托参加响应磋商，否则其响应文件将被否决。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7.3供应商应仔细阅读磋商文件的所有内容和要求，按磋商文件的规定提供响应文件，并对其所提供的全部资料、承诺和声明的真实性、合法性和准确性负责。</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7.4除非竞争性磋商须知前附表另有规定外，供应商提供的响应文件应使用中文文本，若有不同文字文本，以中文文本为准。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7.6除非竞争性磋商须知前附表另有规定外，供应商承诺的报价应以人民币进行报价，合同实施结算时亦以人民币支付；所有计量均采用中华人民共和国法定计量单位。</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8.首次响应文件的组成：</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9.响应文件有效期：</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9.1响应文件有效期见竞争性磋商须知前附表第</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项，响应文件承诺的有效期不得少于磋商文件载明的有效期，</w:t>
      </w:r>
      <w:r>
        <w:rPr>
          <w:rStyle w:val="6"/>
          <w:rFonts w:hint="eastAsia" w:ascii="宋体" w:hAnsi="宋体" w:eastAsia="宋体" w:cs="宋体"/>
          <w:spacing w:val="0"/>
          <w:sz w:val="24"/>
          <w:szCs w:val="24"/>
        </w:rPr>
        <w:t>否则其响应文件将被否决。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10.磋商保证金：</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10.1供应商应在参加竞争性磋商之前按竞争性磋商须知前附表第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10.2磋商保证金为响应文件的重要组成部分之一。磋商保证金用于保护本次磋商活动免受供应商的违约或失信行为而引起的风险。未按规定提交磋商保证金的，</w:t>
      </w:r>
      <w:r>
        <w:rPr>
          <w:rStyle w:val="6"/>
          <w:rFonts w:hint="eastAsia" w:ascii="宋体" w:hAnsi="宋体" w:eastAsia="宋体" w:cs="宋体"/>
          <w:spacing w:val="0"/>
          <w:sz w:val="24"/>
          <w:szCs w:val="24"/>
        </w:rPr>
        <w:t>其响应文件将被否决。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10.3磋商保证金退还：</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spacing w:val="0"/>
          <w:sz w:val="24"/>
          <w:szCs w:val="24"/>
          <w:u w:val="single"/>
        </w:rPr>
        <w:t>6</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10.4如果供应商发生以下任何一种情况时，其磋商保证金将被不予退还：</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(3)除因不可抗力或磋商文件认可的情形以外，成交人不与采购人签订合同的；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(5)供应商在提交最后报价后要求退出磋商的；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(6)供应商假借以他人名义参加磋商或者以其他方式弄虚作假，骗取成交；</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(7)国家法律法规以及磋商文件中规定的其他磋商保证金不予退还的情形。</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上述不予退还磋商保证金的情况不能抵偿给采购人或采购代理机构造成损失的，供应商还要承担赔偿责任。</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11.响应文件基本编制要求：</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11.1供应商须编制由本须知规定组成的响应文件正副本份数详见竞争性磋商须知前附表第</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11.2响应文件应由供应商代表签字并加盖公章。供应商代表如果不是竞争性磋商须知中定义的“单位负责人”，则其响应文件中还必须提供“单位负责人授权书”。</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12.纸质响应文件的密封、标识、签署和提交（除磋商文件相应章节已有规定之外，电子竞争性磋商活动的具体操作流程以福建省政府采购网上公开信息系统设定的为准。）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四、竞争性磋商</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13.评审和磋商基本准则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13.1对所有供应商的评审和磋商，都采用相同的程序和标准。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14.磋商程序以及评审标准和方法</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14.1采购人将根据项目的特点依法组建磋商小组。磋商小组将根据磋商文件规定的程序、评审标准和方法等内容对供应商进行评审、磋商。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14.2.1供应商有下列情况之一者，其提交的响应文件将被视为未实质性响应磋商文件要求，磋商小组将否决其响应文件，按无效处理：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(2)响应文件未按磋商文件规定由供应商代表签字，或未按磋商文件规定加盖供应商单位公章的；或供应商代表未获得有效授权的；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(3)供应商未按磋商文件规定提交磋商保证金的；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(4)响应文件有效期不满足磋商文件要求的；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(7)不符合磋商文件中规定的其它实质性条款（比如：报价超过了磋商文件规定的最高限价）。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14.2.2其他情形</w:t>
      </w:r>
      <w:r>
        <w:rPr>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8"/>
        <w:tblW w:w="830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8306" w:type="dxa"/>
            <w:vAlign w:val="center"/>
          </w:tcPr>
          <w:p>
            <w:pPr>
              <w:widowControl/>
              <w:jc w:val="center"/>
              <w:rPr>
                <w:b/>
              </w:rPr>
            </w:pPr>
            <w:r>
              <w:rPr>
                <w:rFonts w:ascii="宋体" w:hAnsi="宋体" w:eastAsia="宋体" w:cs="宋体"/>
                <w:b/>
                <w:kern w:val="0"/>
                <w:sz w:val="24"/>
                <w:szCs w:val="24"/>
                <w:lang w:val="en-US" w:eastAsia="zh-CN"/>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vAlign w:val="center"/>
          </w:tcPr>
          <w:p>
            <w:pPr>
              <w:widowControl/>
              <w:jc w:val="left"/>
            </w:pPr>
            <w:r>
              <w:rPr>
                <w:rFonts w:ascii="宋体" w:hAnsi="宋体" w:eastAsia="宋体" w:cs="宋体"/>
                <w:kern w:val="0"/>
                <w:sz w:val="24"/>
                <w:szCs w:val="24"/>
                <w:lang w:val="en-US" w:eastAsia="zh-CN"/>
              </w:rPr>
              <w:t>若响应人技术部分的实际得分少于磋商文件设定的技术部分总分50%的投标无效。</w:t>
            </w:r>
          </w:p>
        </w:tc>
      </w:tr>
    </w:tbl>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磋商小组决定供应商的响应性只根据响应文件本身的内容，而不寻求其他的外部证据。</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spacing w:val="0"/>
          <w:sz w:val="24"/>
          <w:szCs w:val="24"/>
          <w:u w:val="single"/>
        </w:rPr>
        <w:t>8</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14.10供应商提交的响应文件和资料将给予保密，但不退回（有关证件或证照的原件除外）。</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五、合同授予</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15.授予合同的准则：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15.1除不可抗力等因素外，合同将授予响应文件符合竞争性磋商文件要求，能够圆满地履行合同，且被磋商小组推荐为第一成交候选人的供应商。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16.确定成交供应在商：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16.1采购人委托代理机构组织竞争性磋商采购活动的，采购代理机构在评审结束后2个工作日内将评审报告送采购人确认。</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17.成交通知:</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18.签订合同：</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18.2竞争性磋商文件、成交人的响应文件及其有关澄清承诺文件等，均为签订政府采购合同的依据和组成部分。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六、询问、质疑与投诉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19.询问</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20.质疑</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④质疑人自身权益受到损害的事实依据和证明材料，至少包括：</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⑤针对质疑事项提出的明确请求和法律依据，</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21.投诉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21.1若对质疑答复不满意或质疑答复未在答复期限内作出，质疑人可在答复期限届满之日起15个工作日内向磋商文件中载明的监督管理部门投诉。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21.2投诉应有明确的请求和必要的证明材料，投诉的事项不得超出已质疑事项的范围。</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七、有关信息公告和监督部门</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22.政府采购信息公告媒体</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22.2信息公告指定媒体：详见竞争性磋商须知前附表第</w:t>
      </w:r>
      <w:r>
        <w:rPr>
          <w:rFonts w:hint="eastAsia" w:ascii="宋体" w:hAnsi="宋体" w:eastAsia="宋体" w:cs="宋体"/>
          <w:spacing w:val="0"/>
          <w:sz w:val="24"/>
          <w:szCs w:val="24"/>
          <w:u w:val="single"/>
        </w:rPr>
        <w:t>11</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23.监督管理部门</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23.1磋商采购活动的监督管理部门详见竞争性磋商须知前附表第</w:t>
      </w:r>
      <w:r>
        <w:rPr>
          <w:rFonts w:hint="eastAsia" w:ascii="宋体" w:hAnsi="宋体" w:eastAsia="宋体" w:cs="宋体"/>
          <w:spacing w:val="0"/>
          <w:sz w:val="24"/>
          <w:szCs w:val="24"/>
          <w:u w:val="single"/>
        </w:rPr>
        <w:t>12</w:t>
      </w:r>
      <w:r>
        <w:rPr>
          <w:rFonts w:hint="eastAsia" w:ascii="宋体" w:hAnsi="宋体" w:eastAsia="宋体" w:cs="宋体"/>
          <w:spacing w:val="0"/>
          <w:sz w:val="24"/>
          <w:szCs w:val="24"/>
        </w:rPr>
        <w:t>项。</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八、根据采购项目特点或政策需要补充的其他内容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24.履约保证金</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spacing w:val="0"/>
          <w:sz w:val="24"/>
          <w:szCs w:val="24"/>
          <w:u w:val="single"/>
        </w:rPr>
        <w:t>13</w:t>
      </w:r>
      <w:r>
        <w:rPr>
          <w:rFonts w:hint="eastAsia" w:ascii="宋体" w:hAnsi="宋体" w:eastAsia="宋体" w:cs="宋体"/>
          <w:spacing w:val="0"/>
          <w:sz w:val="24"/>
          <w:szCs w:val="24"/>
        </w:rPr>
        <w:t>项规定。</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24.2磋商文件要求在合同签订前提交履约保证金，如果成交人无故拖延或者拒不提交履约保证金的，则视为成交人拒绝与采购人签订合同，该成交人将承担违法行为的法律责任。</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25.其他新增内容：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根据采购项目特点或政策需要补充的其他新增内容详见竞争性磋商须知前附表第</w:t>
      </w:r>
      <w:r>
        <w:rPr>
          <w:rFonts w:hint="eastAsia" w:ascii="宋体" w:hAnsi="宋体" w:eastAsia="宋体" w:cs="宋体"/>
          <w:spacing w:val="0"/>
          <w:sz w:val="24"/>
          <w:szCs w:val="24"/>
          <w:u w:val="single"/>
        </w:rPr>
        <w:t>14</w:t>
      </w:r>
      <w:r>
        <w:rPr>
          <w:rFonts w:hint="eastAsia" w:ascii="宋体" w:hAnsi="宋体" w:eastAsia="宋体" w:cs="宋体"/>
          <w:spacing w:val="0"/>
          <w:sz w:val="24"/>
          <w:szCs w:val="24"/>
        </w:rPr>
        <w:t>项。</w:t>
      </w:r>
    </w:p>
    <w:p>
      <w:pPr>
        <w:pStyle w:val="4"/>
        <w:widowControl/>
        <w:spacing w:before="75" w:beforeAutospacing="0" w:after="75" w:afterAutospacing="0"/>
        <w:ind w:left="0" w:right="0" w:firstLine="0"/>
        <w:jc w:val="center"/>
        <w:rPr>
          <w:rStyle w:val="6"/>
          <w:rFonts w:hint="eastAsia" w:ascii="宋体" w:hAnsi="宋体" w:eastAsia="宋体" w:cs="宋体"/>
          <w:spacing w:val="0"/>
          <w:sz w:val="36"/>
          <w:szCs w:val="36"/>
        </w:rPr>
      </w:pPr>
      <w:r>
        <w:rPr>
          <w:rStyle w:val="6"/>
          <w:rFonts w:hint="eastAsia" w:ascii="宋体" w:hAnsi="宋体" w:eastAsia="宋体" w:cs="宋体"/>
          <w:spacing w:val="0"/>
          <w:sz w:val="36"/>
          <w:szCs w:val="36"/>
        </w:rPr>
        <w:br w:type="page"/>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第三章  采购内容及要求</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ascii="sans-serif" w:hAnsi="sans-serif" w:eastAsia="sans-serif" w:cs="sans-serif"/>
          <w:spacing w:val="0"/>
          <w:sz w:val="24"/>
          <w:szCs w:val="24"/>
        </w:rPr>
        <w:t>一、（根据本项目实际情况，填写</w:t>
      </w:r>
      <w:r>
        <w:rPr>
          <w:spacing w:val="0"/>
          <w:sz w:val="24"/>
          <w:szCs w:val="24"/>
        </w:rPr>
        <w:t>“采购标的”或“项目概况”）</w:t>
      </w:r>
    </w:p>
    <w:p>
      <w:pPr>
        <w:pStyle w:val="4"/>
        <w:widowControl/>
        <w:spacing w:before="75" w:beforeAutospacing="0" w:after="75" w:afterAutospacing="0"/>
        <w:ind w:left="0" w:right="0" w:firstLine="0"/>
      </w:pPr>
      <w:r>
        <w:rPr>
          <w:spacing w:val="0"/>
          <w:sz w:val="24"/>
          <w:szCs w:val="24"/>
        </w:rPr>
        <w:t>      根据国家发展改革委、国家认监委《关于加强万家企业能源管理体系建设工作的通知》（发改环资〔2012〕3787号）要求，拟通过政府采购，委托第三方机构，按照每家5万元的预算价格为120家重点用能企业提供专业的能源管理体系建设辅导，使其通过省经信委评价验收，建立能源管理体系，完善节能长效机制，持续改进能源管理水平，不断提高能源利用效率。请各潜在响应人提供最具性价比的服务前来报价，以此体现贵司实力。</w:t>
      </w:r>
    </w:p>
    <w:p>
      <w:pPr>
        <w:pStyle w:val="4"/>
        <w:widowControl/>
        <w:spacing w:before="75" w:beforeAutospacing="0" w:after="75" w:afterAutospacing="0"/>
        <w:ind w:left="0" w:right="0" w:firstLine="0"/>
      </w:pPr>
      <w:r>
        <w:rPr>
          <w:spacing w:val="0"/>
          <w:sz w:val="24"/>
          <w:szCs w:val="24"/>
        </w:rPr>
        <w:t>二、技术要求</w:t>
      </w:r>
    </w:p>
    <w:p>
      <w:pPr>
        <w:pStyle w:val="4"/>
        <w:widowControl/>
        <w:rPr>
          <w:rFonts w:hint="eastAsia"/>
        </w:rPr>
      </w:pPr>
      <w:r>
        <w:rPr>
          <w:rFonts w:hint="eastAsia"/>
          <w:lang w:val="en-US" w:eastAsia="zh-CN"/>
        </w:rPr>
        <w:t xml:space="preserve">    </w:t>
      </w:r>
      <w:r>
        <w:rPr>
          <w:rFonts w:hint="eastAsia"/>
        </w:rPr>
        <w:t>1.最终入围的成交供应商将按区域分配受辅导企业。成交供应商在进企业进行一对一辅导之前，需在当地经信部门的协助下，按地区召集要辅导的企业集中进行一次培训。成交供应商负责提供相关的培训教材、师资，并承担场租等培训费用。</w:t>
      </w:r>
    </w:p>
    <w:p>
      <w:pPr>
        <w:pStyle w:val="4"/>
        <w:widowControl/>
        <w:rPr>
          <w:rFonts w:hint="eastAsia"/>
        </w:rPr>
      </w:pPr>
      <w:r>
        <w:rPr>
          <w:rFonts w:hint="eastAsia"/>
          <w:lang w:val="en-US" w:eastAsia="zh-CN"/>
        </w:rPr>
        <w:t xml:space="preserve">    </w:t>
      </w:r>
      <w:r>
        <w:rPr>
          <w:rFonts w:hint="eastAsia"/>
        </w:rPr>
        <w:t>2.成交供应 商辅导企业完成能源管理体系建设工作后，由省经信委组织相关专家和人员组成评价小组对企业开展能源管理体系建设的效果进行评价。评价结论为不合格，并且在规定时间内未完成整改或者整改后仍未能通过评价小组复审的，该企业的能源管理体系建设将被最终确定为不合格，成交供应商不能获得辅导该企业的相应费用。</w:t>
      </w:r>
    </w:p>
    <w:p>
      <w:pPr>
        <w:pStyle w:val="4"/>
        <w:widowControl/>
        <w:rPr>
          <w:rFonts w:hint="eastAsia"/>
        </w:rPr>
      </w:pPr>
      <w:r>
        <w:rPr>
          <w:rFonts w:hint="eastAsia"/>
          <w:lang w:val="en-US" w:eastAsia="zh-CN"/>
        </w:rPr>
        <w:t xml:space="preserve">    3</w:t>
      </w:r>
      <w:r>
        <w:rPr>
          <w:rFonts w:hint="eastAsia"/>
        </w:rPr>
        <w:t>.企业通过评价半年后一年内,成交供应商应对所辅导的企业的能源管理体系运行情况进行监督审核,并向省经信委提交各企业监督审核结果报告，省经信委将结合年度节能监察工作进行监督抽查。具体审核时间由省经信委另行通知。</w:t>
      </w:r>
    </w:p>
    <w:p>
      <w:pPr>
        <w:pStyle w:val="4"/>
        <w:widowControl/>
        <w:rPr>
          <w:rFonts w:hint="eastAsia"/>
        </w:rPr>
      </w:pPr>
      <w:r>
        <w:rPr>
          <w:rFonts w:hint="eastAsia"/>
          <w:lang w:val="en-US" w:eastAsia="zh-CN"/>
        </w:rPr>
        <w:t xml:space="preserve">    </w:t>
      </w:r>
      <w:r>
        <w:rPr>
          <w:rFonts w:hint="eastAsia"/>
        </w:rPr>
        <w:t>4.由于时间紧迫，受辅导企业众多，根据综合得分排名，确定前6名的响应人入围本项目为成交供应商。评审结束入围的成交候选供应 商，将按其综合得分由高到低进行排序，由其响应人代表在评审现场依次挑选确定一个受辅导企业小组。</w:t>
      </w:r>
    </w:p>
    <w:p>
      <w:pPr>
        <w:pStyle w:val="4"/>
        <w:widowControl/>
        <w:rPr>
          <w:rFonts w:hint="eastAsia"/>
        </w:rPr>
      </w:pPr>
      <w:r>
        <w:rPr>
          <w:rFonts w:hint="eastAsia"/>
          <w:lang w:val="en-US" w:eastAsia="zh-CN"/>
        </w:rPr>
        <w:t xml:space="preserve">    </w:t>
      </w:r>
      <w:r>
        <w:rPr>
          <w:rFonts w:hint="eastAsia"/>
        </w:rPr>
        <w:t>5.因6个小组的企业类型相似且企业数量相同，建议潜在响应人统一以第一组的受辅导企业为依据，制定响应辅导方案。</w:t>
      </w:r>
    </w:p>
    <w:p>
      <w:pPr>
        <w:pStyle w:val="4"/>
        <w:widowControl/>
        <w:rPr>
          <w:rFonts w:hint="eastAsia"/>
        </w:rPr>
      </w:pPr>
      <w:r>
        <w:rPr>
          <w:rFonts w:hint="eastAsia"/>
          <w:lang w:val="en-US" w:eastAsia="zh-CN"/>
        </w:rPr>
        <w:t xml:space="preserve">    </w:t>
      </w:r>
      <w:r>
        <w:rPr>
          <w:rFonts w:hint="eastAsia"/>
        </w:rPr>
        <w:t>6.若最终入围的成交候选供应商数量不足6家的，响应人代表在评审现场依次挑选确定一个受辅导企业小组后，剩余未被挑选的受辅导企业将</w:t>
      </w:r>
      <w:r>
        <w:rPr>
          <w:rFonts w:hint="eastAsia"/>
          <w:lang w:eastAsia="zh-CN"/>
        </w:rPr>
        <w:t>由</w:t>
      </w:r>
      <w:r>
        <w:rPr>
          <w:rFonts w:hint="eastAsia"/>
        </w:rPr>
        <w:t>采购人依据实际入围成交候选供应商数量在评审现场再自行额外分配受辅导企业家数。</w:t>
      </w:r>
    </w:p>
    <w:p>
      <w:pPr>
        <w:pStyle w:val="4"/>
        <w:widowControl/>
        <w:rPr>
          <w:rFonts w:hint="eastAsia"/>
        </w:rPr>
      </w:pPr>
      <w:r>
        <w:rPr>
          <w:rFonts w:hint="eastAsia"/>
          <w:lang w:val="en-US" w:eastAsia="zh-CN"/>
        </w:rPr>
        <w:t xml:space="preserve">    </w:t>
      </w:r>
      <w:r>
        <w:rPr>
          <w:rFonts w:hint="eastAsia"/>
        </w:rPr>
        <w:t>7.报价人的投标总价＝投标单价（每家企业辅导报价）×120家。投标总价仅作为本次评标依据，不等同于签订合同的金额，具体合同签订价格为中标单价×实际辅导企业家数。因后台价格计算要求，报价人在电子报价文件中应填写投标总价（120家），还需在响应文件报价一览表和详细报价书中备注写明进行每家企业辅导的投标单价。本项目预算金额为600万元，每家企业辅导的单价预算金额为5万元，报价人的报价超过以上二项中任何一项最高限价的均按无效报价处理。</w:t>
      </w:r>
    </w:p>
    <w:p>
      <w:pPr>
        <w:pStyle w:val="4"/>
        <w:widowControl/>
        <w:rPr>
          <w:rFonts w:hint="eastAsia"/>
        </w:rPr>
      </w:pPr>
      <w:r>
        <w:rPr>
          <w:rFonts w:hint="eastAsia"/>
          <w:lang w:val="en-US" w:eastAsia="zh-CN"/>
        </w:rPr>
        <w:t xml:space="preserve">    </w:t>
      </w:r>
      <w:r>
        <w:rPr>
          <w:rFonts w:hint="eastAsia"/>
        </w:rPr>
        <w:t xml:space="preserve">8.在辅导过程中，发现被辅导企业存在关停并转等无法开展辅导工作情况或者已经通过能源管理体系认证或评价的，省经信委可予相应替换新的企业，成交供应商须无条件接受。      </w:t>
      </w:r>
    </w:p>
    <w:tbl>
      <w:tblPr>
        <w:tblStyle w:val="8"/>
        <w:tblW w:w="905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8"/>
        <w:gridCol w:w="3834"/>
        <w:gridCol w:w="334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blCellSpacing w:w="15" w:type="dxa"/>
        </w:trPr>
        <w:tc>
          <w:tcPr>
            <w:tcW w:w="8997" w:type="dxa"/>
            <w:gridSpan w:val="4"/>
            <w:vAlign w:val="center"/>
          </w:tcPr>
          <w:p>
            <w:pPr>
              <w:pStyle w:val="4"/>
              <w:widowControl/>
              <w:jc w:val="left"/>
              <w:textAlignment w:val="center"/>
            </w:pPr>
            <w:r>
              <w:rPr>
                <w:rStyle w:val="6"/>
                <w:rFonts w:hint="eastAsia" w:ascii="宋体" w:hAnsi="宋体" w:eastAsia="宋体" w:cs="宋体"/>
                <w:b/>
                <w:i w:val="0"/>
                <w:color w:val="000000"/>
                <w:sz w:val="28"/>
                <w:szCs w:val="28"/>
              </w:rPr>
              <w:t>附：2018年能源管理体系建设辅导和评价企业分组名单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blCellSpacing w:w="15" w:type="dxa"/>
        </w:trPr>
        <w:tc>
          <w:tcPr>
            <w:tcW w:w="443" w:type="dxa"/>
            <w:shd w:val="clear" w:color="auto" w:fill="FFFFFF"/>
            <w:vAlign w:val="center"/>
          </w:tcPr>
          <w:p>
            <w:pPr>
              <w:pStyle w:val="4"/>
              <w:widowControl/>
              <w:jc w:val="center"/>
              <w:textAlignment w:val="center"/>
            </w:pPr>
            <w:r>
              <w:rPr>
                <w:rStyle w:val="6"/>
                <w:rFonts w:hint="eastAsia" w:ascii="宋体" w:hAnsi="宋体" w:eastAsia="宋体" w:cs="宋体"/>
                <w:b/>
                <w:i w:val="0"/>
                <w:color w:val="000000"/>
                <w:sz w:val="19"/>
                <w:szCs w:val="19"/>
              </w:rPr>
              <w:t>序号</w:t>
            </w:r>
          </w:p>
        </w:tc>
        <w:tc>
          <w:tcPr>
            <w:tcW w:w="3804" w:type="dxa"/>
            <w:shd w:val="clear" w:color="auto" w:fill="FFFFFF"/>
            <w:vAlign w:val="center"/>
          </w:tcPr>
          <w:p>
            <w:pPr>
              <w:pStyle w:val="4"/>
              <w:widowControl/>
              <w:jc w:val="center"/>
              <w:textAlignment w:val="center"/>
            </w:pPr>
            <w:r>
              <w:rPr>
                <w:rStyle w:val="6"/>
                <w:rFonts w:hint="eastAsia" w:ascii="宋体" w:hAnsi="宋体" w:eastAsia="宋体" w:cs="宋体"/>
                <w:b/>
                <w:i w:val="0"/>
                <w:color w:val="000000"/>
                <w:sz w:val="19"/>
                <w:szCs w:val="19"/>
              </w:rPr>
              <w:t>单位名称</w:t>
            </w:r>
          </w:p>
        </w:tc>
        <w:tc>
          <w:tcPr>
            <w:tcW w:w="3310" w:type="dxa"/>
            <w:shd w:val="clear" w:color="auto" w:fill="FFFFFF"/>
            <w:vAlign w:val="center"/>
          </w:tcPr>
          <w:p>
            <w:pPr>
              <w:pStyle w:val="4"/>
              <w:widowControl/>
              <w:jc w:val="center"/>
              <w:textAlignment w:val="center"/>
            </w:pPr>
            <w:r>
              <w:rPr>
                <w:rStyle w:val="6"/>
                <w:rFonts w:hint="eastAsia" w:ascii="宋体" w:hAnsi="宋体" w:eastAsia="宋体" w:cs="宋体"/>
                <w:b/>
                <w:i w:val="0"/>
                <w:color w:val="000000"/>
                <w:sz w:val="19"/>
                <w:szCs w:val="19"/>
              </w:rPr>
              <w:t>所属行业</w:t>
            </w:r>
          </w:p>
        </w:tc>
        <w:tc>
          <w:tcPr>
            <w:tcW w:w="1350" w:type="dxa"/>
            <w:vAlign w:val="center"/>
          </w:tcPr>
          <w:p>
            <w:pPr>
              <w:pStyle w:val="4"/>
              <w:widowControl/>
              <w:jc w:val="center"/>
              <w:textAlignment w:val="center"/>
            </w:pPr>
            <w:r>
              <w:rPr>
                <w:rStyle w:val="6"/>
                <w:rFonts w:hint="eastAsia" w:ascii="宋体" w:hAnsi="宋体" w:eastAsia="宋体" w:cs="宋体"/>
                <w:b/>
                <w:i w:val="0"/>
                <w:color w:val="000000"/>
                <w:sz w:val="19"/>
                <w:szCs w:val="19"/>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福建福清核电有限公司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福州和特新能源有限公司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福建华电可门发电有限公司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国电福州发电有限公司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华能国际电力股份有限公司福州电厂</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福耀玻璃工业集团股份有限公司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福建省闽清东升陶瓷有限公司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福建省闽清富兴陶瓷有限公司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福建省闽清环宇陶瓷有限公司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福建省闽清三得利陶瓷有限公司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福建省闽清腾龙陶瓷有限公司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福建省万达汽车玻璃工业有限公司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福建盛利达陶瓷有限公司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福建省东南电化股份有限公司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福建天辰耀隆新材料有限公司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福州耀隆化工集团公司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福建省金纶高纤股份有限公司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福建锦江科技有限公司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福建经纬新纤科技实业有限公司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长乐力恒锦纶科技有限公司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福建德胜能源有限公司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石油加工、炼焦和核燃料加工业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福州京东方光电科技有限公司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福建省长乐市长源纺织有限公司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福建元成豆业有限公司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农副食品加工业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福建奋安铝业有限公司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有色金属冶炼和压延加工业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福建宁德核电有限公司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福建宏旺实业有限公司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福建甬金金属科技有限公司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福建申达钢铁有限公司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福建鼎信科技有限公司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有色金属冶炼和压延加工业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福建青拓实业股份有限公司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有色金属冶炼和压延加工业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福建邦德合成革集团有限公司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橡胶和塑料制品业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福鼎新利泰超纤皮革有限公司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橡胶和塑料制品业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宁德市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国投云顶湄洲湾电力有限公司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福建仙游抽水蓄能有限公司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中海福建天然气有限责任公司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燃气生产和供应业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鞍钢冷轧钢板（莆田）有限公司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福建长城华兴玻璃有限公司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福建华锦实业有限公司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福建华佳彩有限公司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莆田市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创冠环保（建阳）有限公司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福建省凯圣生物质发电有限公司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福建省圣新能源股份有限公司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福建青松股份有限公司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福建省邵武市绿源人造板有限公司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木材加工和木、竹、藤、棕、草制品业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福建圣农发展股份有限公司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农副食品加工业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福建王斌装饰材料有限公司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文教、工美、体育和娱乐用品制造业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福建和泉生物科技有限公司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医药制造业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福建省南铝板带加工有限公司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有色金属冶炼和压延加工业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南平市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福建华电永安发电有限公司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三明市金利亚环保科技投资有限公司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三明市钢岩矿业有限公司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非金属矿采选业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将乐金牛水泥有限公司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三明金牛水泥有限公司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福建省大田县新岩水泥有限公司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三明市三钢矿山开发有限公司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永安市顺达矿业有限公司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黑色金属矿采选业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福建三农新材料有限责任公司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福建省明光新型材料有限公司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福建三钢小蕉实业发展有限公司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三明市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福建晋江热电有限公司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福建晋江天然气发电有限公司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创冠环保(晋江)有限公司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福建省石狮热电有限责任公司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福建省鸿山热电有限责任公司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神华福能发电有限责任公司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石狮市鸿峰环保生物工程有限公司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福建凤竹纺织科技股份有限公司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冠宏股份有限公司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晋江连捷纺织印染实业有限公司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石狮市凌峰漂染织造有限公司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纺织业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福建百宏聚纤科技实业有限公司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晋江市锦福化纤聚合有限公司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福建正麒高纤科技股份有限公司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化学纤维制造业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福建炼化林德气体有限责任公司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福建省东鑫石油化工有限公司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中化泉州石化有限公司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石油加工、炼焦和核燃料加工业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福建百宏高新材料实业有限公司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橡胶和塑料制品业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泉州华祥纸业有限公司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造纸和纸制品业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石狮市华宝集团有限公司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医药制造业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福建省海峡水泥股份有限公司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福建版筑建材有限公司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福建冠福实业有限公司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福建七彩陶瓷有限公司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福建省安泰建材实业有限公司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福建省晋江市豪田瓷砖有限公司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福建省晋江市侨丰建材有限公司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福建省晋江市燕山建陶有限公司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福建省晋江万利瓷业有限公司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晋江市金壮建筑陶瓷有限公司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九牧厨卫股份有限公司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福建省晋江豪山建材有限公司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福建省晋江晋成陶瓷有限公司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福建省晋江市丹豪陶瓷有限公司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福建省铭盛陶瓷发展有限公司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晋江市品质陶瓷建材有限公司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晋江远东陶瓷有限公司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厦门中禾实业有限公司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农副食品加工业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厦门银祥油脂有限公司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农副食品加工业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福建安井食品股份有限公司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食品制造业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8997" w:type="dxa"/>
            <w:gridSpan w:val="4"/>
            <w:shd w:val="clear" w:color="auto" w:fill="FFFFFF"/>
            <w:vAlign w:val="center"/>
          </w:tcPr>
          <w:p>
            <w:pPr>
              <w:pStyle w:val="4"/>
              <w:widowControl/>
              <w:jc w:val="left"/>
              <w:textAlignment w:val="center"/>
            </w:pPr>
            <w:r>
              <w:rPr>
                <w:rStyle w:val="6"/>
                <w:rFonts w:hint="eastAsia" w:ascii="宋体" w:hAnsi="宋体" w:eastAsia="宋体" w:cs="宋体"/>
                <w:b/>
                <w:i w:val="0"/>
                <w:color w:val="000000"/>
                <w:sz w:val="19"/>
                <w:szCs w:val="19"/>
              </w:rPr>
              <w:t>第六组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厦门天马微电子有限公司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联芯集成电路制造（厦门）有限公司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电气硝子玻璃(厦门)有限公司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宸美（厦门）光电有限公司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计算机、通信和其他电子设备制造业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漳州环境再生能源有限公司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漳州市圣元环保电力有限公司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台玻福建光伏玻璃有限公司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非金属矿物制品业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福建三宝特钢有限公司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黑色金属冶炼和压延加工业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翔鹭石化（漳州）有限公司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腾龙芳烃（漳州）有限公司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11</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正新(漳州)橡胶工业有限公司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橡胶和塑料制品业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12</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联盛纸业(龙海)有限公司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造纸和纸制品业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13</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漳州港兴纸品有限公司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造纸和纸制品业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14</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福建华电漳平火电有限公司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15</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神华福能（福建雁石）发电有限责任公司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电力、热力生产和供应业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16</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瓮福紫金化工股份有限公司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17</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福建龙岩精博化工科技有限公司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18</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福建豪迪涂料科技股份有限公司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化学原料和化学制品制造业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19</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天守（福建）超纤科技股份有限公司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橡胶和塑料制品业</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blCellSpacing w:w="15" w:type="dxa"/>
        </w:trPr>
        <w:tc>
          <w:tcPr>
            <w:tcW w:w="443" w:type="dxa"/>
            <w:vAlign w:val="center"/>
          </w:tcPr>
          <w:p>
            <w:pPr>
              <w:pStyle w:val="4"/>
              <w:widowControl/>
              <w:jc w:val="center"/>
              <w:textAlignment w:val="center"/>
            </w:pPr>
            <w:r>
              <w:rPr>
                <w:rFonts w:hint="eastAsia" w:ascii="宋体" w:hAnsi="宋体" w:eastAsia="宋体" w:cs="宋体"/>
                <w:i w:val="0"/>
                <w:color w:val="000000"/>
                <w:sz w:val="19"/>
                <w:szCs w:val="19"/>
              </w:rPr>
              <w:t>20</w:t>
            </w:r>
          </w:p>
        </w:tc>
        <w:tc>
          <w:tcPr>
            <w:tcW w:w="3804" w:type="dxa"/>
            <w:vAlign w:val="center"/>
          </w:tcPr>
          <w:p>
            <w:pPr>
              <w:pStyle w:val="4"/>
              <w:widowControl/>
              <w:jc w:val="left"/>
              <w:textAlignment w:val="center"/>
            </w:pPr>
            <w:r>
              <w:rPr>
                <w:rFonts w:hint="eastAsia" w:ascii="宋体" w:hAnsi="宋体" w:eastAsia="宋体" w:cs="宋体"/>
                <w:i w:val="0"/>
                <w:color w:val="000000"/>
                <w:sz w:val="19"/>
                <w:szCs w:val="19"/>
              </w:rPr>
              <w:t>龙岩卓越新能源股份有限公司</w:t>
            </w:r>
          </w:p>
        </w:tc>
        <w:tc>
          <w:tcPr>
            <w:tcW w:w="3310" w:type="dxa"/>
            <w:vAlign w:val="center"/>
          </w:tcPr>
          <w:p>
            <w:pPr>
              <w:pStyle w:val="4"/>
              <w:widowControl/>
              <w:jc w:val="left"/>
              <w:textAlignment w:val="center"/>
            </w:pPr>
            <w:r>
              <w:rPr>
                <w:rFonts w:hint="eastAsia" w:ascii="宋体" w:hAnsi="宋体" w:eastAsia="宋体" w:cs="宋体"/>
                <w:i w:val="0"/>
                <w:color w:val="000000"/>
                <w:sz w:val="19"/>
                <w:szCs w:val="19"/>
              </w:rPr>
              <w:t xml:space="preserve">石油加工、炼焦和核燃料加工业 </w:t>
            </w:r>
          </w:p>
        </w:tc>
        <w:tc>
          <w:tcPr>
            <w:tcW w:w="1350" w:type="dxa"/>
            <w:vAlign w:val="center"/>
          </w:tcPr>
          <w:p>
            <w:pPr>
              <w:pStyle w:val="4"/>
              <w:widowControl/>
              <w:jc w:val="center"/>
              <w:textAlignment w:val="center"/>
            </w:pPr>
            <w:r>
              <w:rPr>
                <w:rFonts w:hint="eastAsia" w:ascii="宋体" w:hAnsi="宋体" w:eastAsia="宋体" w:cs="宋体"/>
                <w:i w:val="0"/>
                <w:color w:val="000000"/>
                <w:sz w:val="19"/>
                <w:szCs w:val="19"/>
              </w:rPr>
              <w:t>龙岩市</w:t>
            </w:r>
          </w:p>
        </w:tc>
      </w:tr>
    </w:tbl>
    <w:p>
      <w:pPr>
        <w:pStyle w:val="4"/>
        <w:widowControl/>
        <w:spacing w:before="75" w:beforeAutospacing="0" w:after="75" w:afterAutospacing="0"/>
        <w:ind w:left="0" w:right="0" w:firstLine="0"/>
      </w:pPr>
      <w:r>
        <w:rPr>
          <w:spacing w:val="0"/>
          <w:sz w:val="24"/>
          <w:szCs w:val="24"/>
        </w:rPr>
        <w:t>三、商务条件</w:t>
      </w:r>
    </w:p>
    <w:p>
      <w:pPr>
        <w:pStyle w:val="4"/>
        <w:widowControl/>
        <w:spacing w:before="75" w:beforeAutospacing="0" w:after="75" w:afterAutospacing="0"/>
        <w:ind w:left="0" w:right="0" w:firstLine="0"/>
      </w:pPr>
      <w:r>
        <w:rPr>
          <w:spacing w:val="0"/>
          <w:sz w:val="24"/>
          <w:szCs w:val="24"/>
        </w:rPr>
        <w:t>包：1</w:t>
      </w:r>
      <w:r>
        <w:rPr>
          <w:spacing w:val="0"/>
          <w:sz w:val="24"/>
          <w:szCs w:val="24"/>
        </w:rPr>
        <w:br w:type="textWrapping"/>
      </w:r>
      <w:r>
        <w:rPr>
          <w:spacing w:val="0"/>
          <w:sz w:val="24"/>
          <w:szCs w:val="24"/>
        </w:rPr>
        <w:t xml:space="preserve">1、交付地点：福建省福州市鼓楼区洪山园路福建省节能监察中心 </w:t>
      </w:r>
      <w:r>
        <w:rPr>
          <w:spacing w:val="0"/>
          <w:sz w:val="24"/>
          <w:szCs w:val="24"/>
        </w:rPr>
        <w:br w:type="textWrapping"/>
      </w:r>
      <w:r>
        <w:rPr>
          <w:spacing w:val="0"/>
          <w:sz w:val="24"/>
          <w:szCs w:val="24"/>
        </w:rPr>
        <w:t>2、交付时间：</w:t>
      </w:r>
      <w:r>
        <w:rPr>
          <w:rFonts w:hint="eastAsia"/>
          <w:spacing w:val="0"/>
          <w:sz w:val="24"/>
          <w:szCs w:val="24"/>
        </w:rPr>
        <w:t>企业辅导工作须在2018年11月30日前结束，交付验收</w:t>
      </w:r>
      <w:r>
        <w:rPr>
          <w:spacing w:val="0"/>
          <w:sz w:val="24"/>
          <w:szCs w:val="24"/>
        </w:rPr>
        <w:br w:type="textWrapping"/>
      </w:r>
      <w:r>
        <w:rPr>
          <w:spacing w:val="0"/>
          <w:sz w:val="24"/>
          <w:szCs w:val="24"/>
        </w:rPr>
        <w:t>3、交付条件：通过由省经信委组织相关专家和人员组成评价小组对企业开展能源管理体系建设的效果进行评价</w:t>
      </w:r>
      <w:r>
        <w:rPr>
          <w:spacing w:val="0"/>
          <w:sz w:val="24"/>
          <w:szCs w:val="24"/>
        </w:rPr>
        <w:br w:type="textWrapping"/>
      </w:r>
      <w:r>
        <w:rPr>
          <w:spacing w:val="0"/>
          <w:sz w:val="24"/>
          <w:szCs w:val="24"/>
        </w:rPr>
        <w:t>4、是否收取履约保证金：否</w:t>
      </w:r>
      <w:r>
        <w:rPr>
          <w:spacing w:val="0"/>
          <w:sz w:val="24"/>
          <w:szCs w:val="24"/>
        </w:rPr>
        <w:br w:type="textWrapping"/>
      </w:r>
      <w:r>
        <w:rPr>
          <w:spacing w:val="0"/>
          <w:sz w:val="24"/>
          <w:szCs w:val="24"/>
        </w:rPr>
        <w:t>5、是否邀请投标人参与验收：否</w:t>
      </w:r>
      <w:r>
        <w:rPr>
          <w:spacing w:val="0"/>
          <w:sz w:val="24"/>
          <w:szCs w:val="24"/>
        </w:rPr>
        <w:br w:type="textWrapping"/>
      </w:r>
      <w:r>
        <w:rPr>
          <w:spacing w:val="0"/>
          <w:sz w:val="24"/>
          <w:szCs w:val="24"/>
        </w:rPr>
        <w:t xml:space="preserve">6、验收方式数据表格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1" w:type="dxa"/>
            <w:vAlign w:val="center"/>
          </w:tcPr>
          <w:p>
            <w:pPr>
              <w:widowControl/>
              <w:jc w:val="left"/>
            </w:pPr>
            <w:r>
              <w:rPr>
                <w:rFonts w:ascii="宋体" w:hAnsi="宋体" w:eastAsia="宋体" w:cs="宋体"/>
                <w:kern w:val="0"/>
                <w:sz w:val="24"/>
                <w:szCs w:val="24"/>
                <w:lang w:val="en-US" w:eastAsia="zh-CN"/>
              </w:rPr>
              <w:t>验收期次</w:t>
            </w:r>
          </w:p>
        </w:tc>
        <w:tc>
          <w:tcPr>
            <w:tcW w:w="6644" w:type="dxa"/>
            <w:vAlign w:val="center"/>
          </w:tcPr>
          <w:p>
            <w:pPr>
              <w:widowControl/>
              <w:jc w:val="left"/>
            </w:pPr>
            <w:r>
              <w:rPr>
                <w:rFonts w:ascii="宋体" w:hAnsi="宋体" w:eastAsia="宋体" w:cs="宋体"/>
                <w:kern w:val="0"/>
                <w:sz w:val="24"/>
                <w:szCs w:val="24"/>
                <w:lang w:val="en-US" w:eastAsia="zh-CN"/>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vAlign w:val="center"/>
          </w:tcPr>
          <w:p>
            <w:pPr>
              <w:widowControl/>
              <w:jc w:val="left"/>
            </w:pPr>
            <w:r>
              <w:rPr>
                <w:rFonts w:ascii="宋体" w:hAnsi="宋体" w:eastAsia="宋体" w:cs="宋体"/>
                <w:kern w:val="0"/>
                <w:sz w:val="24"/>
                <w:szCs w:val="24"/>
                <w:lang w:val="en-US" w:eastAsia="zh-CN"/>
              </w:rPr>
              <w:t>1</w:t>
            </w:r>
          </w:p>
        </w:tc>
        <w:tc>
          <w:tcPr>
            <w:tcW w:w="6644" w:type="dxa"/>
            <w:vAlign w:val="center"/>
          </w:tcPr>
          <w:p>
            <w:pPr>
              <w:widowControl/>
              <w:jc w:val="left"/>
            </w:pPr>
            <w:r>
              <w:rPr>
                <w:rFonts w:ascii="宋体" w:hAnsi="宋体" w:eastAsia="宋体" w:cs="宋体"/>
                <w:kern w:val="0"/>
                <w:sz w:val="24"/>
                <w:szCs w:val="24"/>
                <w:lang w:val="en-US" w:eastAsia="zh-CN"/>
              </w:rPr>
              <w:t>为相应分组的重点用能企业提供专业的能源管理体系建设辅导，使其通过省经信委评价验收，建立能源管理体系，完善节能长效机制，持续改进能源管理水平，不断提高能源利用效率。</w:t>
            </w:r>
          </w:p>
        </w:tc>
      </w:tr>
    </w:tbl>
    <w:p>
      <w:pPr>
        <w:widowControl/>
        <w:jc w:val="left"/>
      </w:pPr>
      <w:r>
        <w:rPr>
          <w:rFonts w:ascii="宋体" w:hAnsi="宋体" w:eastAsia="宋体" w:cs="宋体"/>
          <w:kern w:val="0"/>
          <w:sz w:val="24"/>
          <w:szCs w:val="24"/>
          <w:lang w:val="en-US" w:eastAsia="zh-CN"/>
        </w:rPr>
        <w:t xml:space="preserve">7、支付方式数据表格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1661"/>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1" w:type="dxa"/>
            <w:vAlign w:val="center"/>
          </w:tcPr>
          <w:p>
            <w:pPr>
              <w:widowControl/>
              <w:jc w:val="left"/>
            </w:pPr>
            <w:r>
              <w:rPr>
                <w:rFonts w:ascii="宋体" w:hAnsi="宋体" w:eastAsia="宋体" w:cs="宋体"/>
                <w:kern w:val="0"/>
                <w:sz w:val="24"/>
                <w:szCs w:val="24"/>
                <w:lang w:val="en-US" w:eastAsia="zh-CN"/>
              </w:rPr>
              <w:t>支付期次</w:t>
            </w:r>
          </w:p>
        </w:tc>
        <w:tc>
          <w:tcPr>
            <w:tcW w:w="1661" w:type="dxa"/>
            <w:vAlign w:val="center"/>
          </w:tcPr>
          <w:p>
            <w:pPr>
              <w:widowControl/>
              <w:jc w:val="left"/>
            </w:pPr>
            <w:r>
              <w:rPr>
                <w:rFonts w:ascii="宋体" w:hAnsi="宋体" w:eastAsia="宋体" w:cs="宋体"/>
                <w:kern w:val="0"/>
                <w:sz w:val="24"/>
                <w:szCs w:val="24"/>
                <w:lang w:val="en-US" w:eastAsia="zh-CN"/>
              </w:rPr>
              <w:t>支付比例(%)</w:t>
            </w:r>
          </w:p>
        </w:tc>
        <w:tc>
          <w:tcPr>
            <w:tcW w:w="4983" w:type="dxa"/>
            <w:vAlign w:val="center"/>
          </w:tcPr>
          <w:p>
            <w:pPr>
              <w:widowControl/>
              <w:jc w:val="left"/>
            </w:pPr>
            <w:r>
              <w:rPr>
                <w:rFonts w:ascii="宋体" w:hAnsi="宋体" w:eastAsia="宋体" w:cs="宋体"/>
                <w:kern w:val="0"/>
                <w:sz w:val="24"/>
                <w:szCs w:val="24"/>
                <w:lang w:val="en-US" w:eastAsia="zh-CN"/>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vAlign w:val="center"/>
          </w:tcPr>
          <w:p>
            <w:pPr>
              <w:widowControl/>
              <w:jc w:val="left"/>
            </w:pPr>
            <w:r>
              <w:rPr>
                <w:rFonts w:ascii="宋体" w:hAnsi="宋体" w:eastAsia="宋体" w:cs="宋体"/>
                <w:kern w:val="0"/>
                <w:sz w:val="24"/>
                <w:szCs w:val="24"/>
                <w:lang w:val="en-US" w:eastAsia="zh-CN"/>
              </w:rPr>
              <w:t>1</w:t>
            </w:r>
          </w:p>
        </w:tc>
        <w:tc>
          <w:tcPr>
            <w:tcW w:w="1661" w:type="dxa"/>
            <w:vAlign w:val="center"/>
          </w:tcPr>
          <w:p>
            <w:pPr>
              <w:widowControl/>
              <w:jc w:val="left"/>
            </w:pPr>
            <w:r>
              <w:rPr>
                <w:rFonts w:ascii="宋体" w:hAnsi="宋体" w:eastAsia="宋体" w:cs="宋体"/>
                <w:kern w:val="0"/>
                <w:sz w:val="24"/>
                <w:szCs w:val="24"/>
                <w:lang w:val="en-US" w:eastAsia="zh-CN"/>
              </w:rPr>
              <w:t>100</w:t>
            </w:r>
          </w:p>
        </w:tc>
        <w:tc>
          <w:tcPr>
            <w:tcW w:w="4983" w:type="dxa"/>
            <w:vAlign w:val="center"/>
          </w:tcPr>
          <w:p>
            <w:pPr>
              <w:widowControl/>
              <w:jc w:val="left"/>
            </w:pPr>
            <w:r>
              <w:rPr>
                <w:rFonts w:ascii="宋体" w:hAnsi="宋体" w:eastAsia="宋体" w:cs="宋体"/>
                <w:kern w:val="0"/>
                <w:sz w:val="24"/>
                <w:szCs w:val="24"/>
                <w:lang w:val="en-US" w:eastAsia="zh-CN"/>
              </w:rPr>
              <w:t>评价验收合格后1个月内，根据通过评价验收的受辅导企业数量支付相应合同金额。</w:t>
            </w:r>
          </w:p>
        </w:tc>
      </w:tr>
    </w:tbl>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pPr>
      <w:r>
        <w:rPr>
          <w:spacing w:val="0"/>
          <w:sz w:val="24"/>
          <w:szCs w:val="24"/>
        </w:rPr>
        <w:t>四、其他事项</w:t>
      </w:r>
    </w:p>
    <w:p>
      <w:pPr>
        <w:pStyle w:val="4"/>
        <w:widowControl/>
        <w:spacing w:before="75" w:beforeAutospacing="0" w:after="75" w:afterAutospacing="0" w:line="420" w:lineRule="atLeast"/>
        <w:ind w:left="0" w:right="0" w:firstLine="0"/>
      </w:pPr>
      <w:r>
        <w:rPr>
          <w:spacing w:val="0"/>
          <w:sz w:val="24"/>
          <w:szCs w:val="24"/>
        </w:rPr>
        <w:t> </w:t>
      </w:r>
      <w:r>
        <w:rPr>
          <w:rFonts w:ascii="宋体" w:hAnsi="宋体" w:eastAsia="宋体" w:cs="宋体"/>
          <w:sz w:val="24"/>
          <w:szCs w:val="24"/>
        </w:rPr>
        <w:t>本文件未明确的其它约定事项或条款，待采购人与成交供应商签订合同时，由双方另行协商约定。</w:t>
      </w:r>
    </w:p>
    <w:p>
      <w:pPr>
        <w:widowControl/>
        <w:jc w:val="left"/>
      </w:pPr>
      <w:r>
        <w:rPr>
          <w:rFonts w:ascii="宋体" w:hAnsi="宋体" w:eastAsia="宋体" w:cs="宋体"/>
          <w:kern w:val="0"/>
          <w:sz w:val="24"/>
          <w:szCs w:val="24"/>
          <w:lang w:val="en-US" w:eastAsia="zh-CN"/>
        </w:rPr>
        <w:t> </w:t>
      </w:r>
    </w:p>
    <w:p>
      <w:pPr>
        <w:widowControl/>
        <w:jc w:val="left"/>
      </w:pPr>
      <w:r>
        <w:rPr>
          <w:rFonts w:ascii="宋体" w:hAnsi="宋体" w:eastAsia="宋体" w:cs="宋体"/>
          <w:kern w:val="0"/>
          <w:sz w:val="24"/>
          <w:szCs w:val="24"/>
          <w:lang w:val="en-US" w:eastAsia="zh-CN"/>
        </w:rPr>
        <w:t> </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textWrapping"/>
      </w:r>
    </w:p>
    <w:p>
      <w:pPr>
        <w:pStyle w:val="4"/>
        <w:widowControl/>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page"/>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第四章  合同主要条款及格式</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24"/>
          <w:szCs w:val="24"/>
        </w:rPr>
        <w:t>编制说明</w:t>
      </w:r>
    </w:p>
    <w:p>
      <w:pPr>
        <w:pStyle w:val="4"/>
        <w:widowControl/>
        <w:spacing w:before="75" w:beforeAutospacing="0" w:after="75" w:afterAutospacing="0"/>
        <w:ind w:left="0" w:right="0" w:firstLine="0"/>
      </w:pPr>
      <w:r>
        <w:rPr>
          <w:rStyle w:val="6"/>
          <w:rFonts w:hint="eastAsia" w:ascii="宋体" w:hAnsi="宋体" w:eastAsia="宋体" w:cs="宋体"/>
          <w:spacing w:val="0"/>
          <w:sz w:val="24"/>
          <w:szCs w:val="24"/>
        </w:rPr>
        <w:t>1、签订合同应遵守《中华人民共和国政府采购法》、《中华人民共和国合同法》。</w:t>
      </w:r>
    </w:p>
    <w:p>
      <w:pPr>
        <w:pStyle w:val="4"/>
        <w:widowControl/>
        <w:spacing w:before="75" w:beforeAutospacing="0" w:after="75" w:afterAutospacing="0"/>
        <w:ind w:left="0" w:right="0" w:firstLine="0"/>
      </w:pPr>
      <w:r>
        <w:rPr>
          <w:rStyle w:val="6"/>
          <w:rFonts w:hint="eastAsia" w:ascii="宋体" w:hAnsi="宋体" w:eastAsia="宋体" w:cs="宋体"/>
          <w:spacing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4"/>
        <w:widowControl/>
        <w:spacing w:before="75" w:beforeAutospacing="0" w:after="240" w:afterAutospacing="0"/>
        <w:ind w:left="0" w:right="0" w:firstLine="0"/>
      </w:pPr>
      <w:r>
        <w:rPr>
          <w:rStyle w:val="6"/>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（成交供应商全称）</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项目（以下简称：“本项目”）的磋商结果，乙方为成交供应商。现经甲乙双方友好协商，就以下事项达成一致并签订本合同：</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1.2磋商文件、乙方的响应文件；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（根据实际情况填写需要增加的内容）</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5、合同标的应符合磋商文件、乙方响应文件的规定或约定，具体如下：</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6.1验收应按照磋商文件、乙方响应文件的规定或约定进行，具体如下：</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7、合同款项的支付应按照磋商文件的规定进行，具体如下：</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（根据实际情况填写，可以是表格或文字描述，包括一次性支付或分期支付等）</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spacing w:val="0"/>
          <w:sz w:val="24"/>
          <w:szCs w:val="24"/>
        </w:rPr>
        <w:t> </w:t>
      </w:r>
    </w:p>
    <w:p>
      <w:pPr>
        <w:widowControl/>
        <w:jc w:val="left"/>
      </w:pPr>
      <w:r>
        <w:rPr>
          <w:rFonts w:ascii="宋体" w:hAnsi="宋体" w:eastAsia="宋体" w:cs="宋体"/>
          <w:kern w:val="0"/>
          <w:sz w:val="24"/>
          <w:szCs w:val="24"/>
          <w:lang w:val="en-US" w:eastAsia="zh-CN"/>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36"/>
          <w:szCs w:val="36"/>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36"/>
          <w:szCs w:val="36"/>
        </w:rPr>
        <w:t> </w:t>
      </w:r>
    </w:p>
    <w:p>
      <w:pPr>
        <w:pStyle w:val="4"/>
        <w:widowControl/>
        <w:spacing w:before="75" w:beforeAutospacing="0" w:after="75" w:afterAutospacing="0" w:line="435" w:lineRule="atLeast"/>
        <w:ind w:left="0" w:right="0" w:firstLine="0"/>
        <w:jc w:val="center"/>
        <w:rPr>
          <w:rStyle w:val="6"/>
          <w:rFonts w:hint="eastAsia" w:ascii="宋体" w:hAnsi="宋体" w:eastAsia="宋体" w:cs="宋体"/>
          <w:spacing w:val="0"/>
          <w:sz w:val="36"/>
          <w:szCs w:val="36"/>
        </w:rPr>
      </w:pPr>
      <w:r>
        <w:rPr>
          <w:rStyle w:val="6"/>
          <w:rFonts w:hint="eastAsia" w:ascii="宋体" w:hAnsi="宋体" w:eastAsia="宋体" w:cs="宋体"/>
          <w:spacing w:val="0"/>
          <w:sz w:val="36"/>
          <w:szCs w:val="36"/>
        </w:rPr>
        <w:br w:type="page"/>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36"/>
          <w:szCs w:val="36"/>
        </w:rPr>
        <w:t>第五章  首次响应文件格式</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编制说明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rPr>
          <w:rStyle w:val="6"/>
          <w:rFonts w:hint="eastAsia" w:ascii="宋体" w:hAnsi="宋体" w:eastAsia="宋体" w:cs="宋体"/>
          <w:spacing w:val="0"/>
          <w:sz w:val="36"/>
          <w:szCs w:val="36"/>
        </w:rPr>
      </w:pPr>
      <w:r>
        <w:rPr>
          <w:rStyle w:val="6"/>
          <w:rFonts w:hint="eastAsia" w:ascii="宋体" w:hAnsi="宋体" w:eastAsia="宋体" w:cs="宋体"/>
          <w:spacing w:val="0"/>
          <w:sz w:val="36"/>
          <w:szCs w:val="36"/>
        </w:rPr>
        <w:t xml:space="preserve">          </w:t>
      </w:r>
    </w:p>
    <w:p>
      <w:pPr>
        <w:pStyle w:val="4"/>
        <w:widowControl/>
        <w:spacing w:before="75" w:beforeAutospacing="0" w:after="75" w:afterAutospacing="0"/>
        <w:ind w:left="0" w:right="0" w:firstLine="0"/>
        <w:rPr>
          <w:rStyle w:val="6"/>
          <w:rFonts w:hint="eastAsia" w:ascii="宋体" w:hAnsi="宋体" w:eastAsia="宋体" w:cs="宋体"/>
          <w:spacing w:val="0"/>
          <w:sz w:val="36"/>
          <w:szCs w:val="36"/>
        </w:rPr>
      </w:pPr>
      <w:r>
        <w:rPr>
          <w:rStyle w:val="6"/>
          <w:rFonts w:hint="eastAsia" w:ascii="宋体" w:hAnsi="宋体" w:eastAsia="宋体" w:cs="宋体"/>
          <w:spacing w:val="0"/>
          <w:sz w:val="36"/>
          <w:szCs w:val="36"/>
        </w:rPr>
        <w:br w:type="page"/>
      </w:r>
    </w:p>
    <w:p>
      <w:pPr>
        <w:pStyle w:val="4"/>
        <w:widowControl/>
        <w:spacing w:before="75" w:beforeAutospacing="0" w:after="75" w:afterAutospacing="0"/>
        <w:ind w:left="0" w:right="0" w:firstLine="0"/>
        <w:rPr>
          <w:rStyle w:val="6"/>
          <w:rFonts w:hint="eastAsia" w:ascii="宋体" w:hAnsi="宋体" w:eastAsia="宋体" w:cs="宋体"/>
          <w:spacing w:val="0"/>
          <w:sz w:val="36"/>
          <w:szCs w:val="36"/>
        </w:rPr>
      </w:pPr>
    </w:p>
    <w:p>
      <w:pPr>
        <w:pStyle w:val="4"/>
        <w:widowControl/>
        <w:spacing w:before="75" w:beforeAutospacing="0" w:after="75" w:afterAutospacing="0"/>
        <w:ind w:left="0" w:right="0" w:firstLine="0"/>
        <w:rPr>
          <w:rStyle w:val="6"/>
          <w:rFonts w:hint="eastAsia" w:ascii="宋体" w:hAnsi="宋体" w:eastAsia="宋体" w:cs="宋体"/>
          <w:spacing w:val="0"/>
          <w:sz w:val="36"/>
          <w:szCs w:val="36"/>
        </w:rPr>
      </w:pPr>
    </w:p>
    <w:p>
      <w:pPr>
        <w:pStyle w:val="4"/>
        <w:widowControl/>
        <w:spacing w:before="75" w:beforeAutospacing="0" w:after="75" w:afterAutospacing="0"/>
        <w:ind w:left="0" w:right="0" w:firstLine="0"/>
        <w:rPr>
          <w:rStyle w:val="6"/>
          <w:rFonts w:hint="eastAsia" w:ascii="宋体" w:hAnsi="宋体" w:eastAsia="宋体" w:cs="宋体"/>
          <w:spacing w:val="0"/>
          <w:sz w:val="36"/>
          <w:szCs w:val="36"/>
        </w:rPr>
      </w:pP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福建省政府采购项目竞争性磋商</w:t>
      </w:r>
    </w:p>
    <w:p>
      <w:pPr>
        <w:pStyle w:val="4"/>
        <w:widowControl/>
        <w:spacing w:before="75" w:beforeAutospacing="0" w:after="75" w:afterAutospacing="0"/>
        <w:ind w:left="0" w:right="0" w:firstLine="0"/>
      </w:pPr>
      <w:r>
        <w:rPr>
          <w:rStyle w:val="6"/>
          <w:rFonts w:hint="eastAsia" w:ascii="宋体" w:hAnsi="宋体" w:eastAsia="宋体" w:cs="宋体"/>
          <w:spacing w:val="0"/>
          <w:sz w:val="24"/>
          <w:szCs w:val="24"/>
        </w:rPr>
        <w:t>                             响应文件</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                             （首次）</w:t>
      </w:r>
    </w:p>
    <w:p>
      <w:pPr>
        <w:pStyle w:val="4"/>
        <w:widowControl/>
        <w:spacing w:before="75" w:beforeAutospacing="0" w:after="75" w:afterAutospacing="0"/>
        <w:ind w:left="0" w:right="0" w:firstLine="0"/>
        <w:jc w:val="center"/>
      </w:pPr>
      <w:r>
        <w:rPr>
          <w:rFonts w:hint="eastAsia" w:ascii="宋体" w:hAnsi="宋体" w:eastAsia="宋体" w:cs="宋体"/>
          <w:spacing w:val="0"/>
          <w:sz w:val="30"/>
          <w:szCs w:val="30"/>
        </w:rPr>
        <w:t> </w:t>
      </w:r>
    </w:p>
    <w:p>
      <w:pPr>
        <w:pStyle w:val="4"/>
        <w:widowControl/>
        <w:spacing w:before="75" w:beforeAutospacing="0" w:after="75" w:afterAutospacing="0"/>
        <w:ind w:left="0" w:right="0" w:firstLine="0"/>
        <w:jc w:val="center"/>
      </w:pPr>
      <w:r>
        <w:rPr>
          <w:rFonts w:hint="eastAsia" w:ascii="宋体" w:hAnsi="宋体" w:eastAsia="宋体" w:cs="宋体"/>
          <w:spacing w:val="0"/>
          <w:sz w:val="30"/>
          <w:szCs w:val="30"/>
        </w:rPr>
        <w:t> </w:t>
      </w:r>
    </w:p>
    <w:p>
      <w:pPr>
        <w:pStyle w:val="4"/>
        <w:widowControl/>
        <w:spacing w:before="75" w:beforeAutospacing="0" w:after="75" w:afterAutospacing="0"/>
        <w:ind w:left="0" w:right="0" w:firstLine="1260"/>
      </w:pPr>
      <w:r>
        <w:rPr>
          <w:rStyle w:val="6"/>
          <w:rFonts w:hint="eastAsia" w:ascii="宋体" w:hAnsi="宋体" w:eastAsia="宋体" w:cs="宋体"/>
          <w:spacing w:val="0"/>
          <w:sz w:val="24"/>
          <w:szCs w:val="24"/>
        </w:rPr>
        <w:t>项目名称：</w:t>
      </w:r>
      <w:r>
        <w:rPr>
          <w:rStyle w:val="6"/>
          <w:rFonts w:hint="eastAsia" w:ascii="宋体" w:hAnsi="宋体" w:eastAsia="宋体" w:cs="宋体"/>
          <w:spacing w:val="0"/>
          <w:sz w:val="36"/>
          <w:szCs w:val="36"/>
          <w:u w:val="single"/>
        </w:rPr>
        <w:t>               </w:t>
      </w:r>
    </w:p>
    <w:p>
      <w:pPr>
        <w:pStyle w:val="4"/>
        <w:widowControl/>
        <w:spacing w:before="75" w:beforeAutospacing="0" w:after="75" w:afterAutospacing="0"/>
        <w:ind w:left="0" w:right="0" w:firstLine="1260"/>
      </w:pPr>
      <w:r>
        <w:rPr>
          <w:rStyle w:val="6"/>
          <w:rFonts w:hint="eastAsia" w:ascii="宋体" w:hAnsi="宋体" w:eastAsia="宋体" w:cs="宋体"/>
          <w:spacing w:val="0"/>
          <w:sz w:val="24"/>
          <w:szCs w:val="24"/>
        </w:rPr>
        <w:t>项目编号：</w:t>
      </w:r>
      <w:r>
        <w:rPr>
          <w:rStyle w:val="6"/>
          <w:rFonts w:hint="eastAsia" w:ascii="宋体" w:hAnsi="宋体" w:eastAsia="宋体" w:cs="宋体"/>
          <w:spacing w:val="0"/>
          <w:sz w:val="36"/>
          <w:szCs w:val="36"/>
          <w:u w:val="single"/>
        </w:rPr>
        <w:t>                    </w:t>
      </w:r>
    </w:p>
    <w:p>
      <w:pPr>
        <w:pStyle w:val="4"/>
        <w:widowControl/>
        <w:spacing w:before="75" w:beforeAutospacing="0" w:after="75" w:afterAutospacing="0"/>
        <w:ind w:left="0" w:right="0" w:firstLine="1260"/>
      </w:pPr>
      <w:r>
        <w:rPr>
          <w:rStyle w:val="6"/>
          <w:rFonts w:hint="eastAsia" w:ascii="宋体" w:hAnsi="宋体" w:eastAsia="宋体" w:cs="宋体"/>
          <w:spacing w:val="0"/>
          <w:sz w:val="24"/>
          <w:szCs w:val="24"/>
        </w:rPr>
        <w:t>合同包</w:t>
      </w:r>
      <w:r>
        <w:rPr>
          <w:rStyle w:val="6"/>
          <w:rFonts w:hint="eastAsia" w:ascii="宋体" w:hAnsi="宋体" w:eastAsia="宋体" w:cs="宋体"/>
          <w:spacing w:val="0"/>
          <w:sz w:val="36"/>
          <w:szCs w:val="36"/>
        </w:rPr>
        <w:t>: </w:t>
      </w:r>
      <w:r>
        <w:rPr>
          <w:rStyle w:val="6"/>
          <w:rFonts w:hint="eastAsia" w:ascii="宋体" w:hAnsi="宋体" w:eastAsia="宋体" w:cs="宋体"/>
          <w:spacing w:val="0"/>
          <w:sz w:val="36"/>
          <w:szCs w:val="36"/>
          <w:u w:val="single"/>
        </w:rPr>
        <w:t>                    </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r>
        <w:rPr>
          <w:rStyle w:val="6"/>
          <w:rFonts w:hint="eastAsia" w:ascii="宋体" w:hAnsi="宋体" w:eastAsia="宋体" w:cs="宋体"/>
          <w:spacing w:val="0"/>
          <w:sz w:val="24"/>
          <w:szCs w:val="24"/>
        </w:rPr>
        <w:t>供应商名称 ：</w:t>
      </w:r>
      <w:r>
        <w:rPr>
          <w:rStyle w:val="6"/>
          <w:rFonts w:hint="eastAsia" w:ascii="宋体" w:hAnsi="宋体" w:eastAsia="宋体" w:cs="宋体"/>
          <w:spacing w:val="0"/>
          <w:sz w:val="24"/>
          <w:szCs w:val="24"/>
          <w:u w:val="single"/>
        </w:rPr>
        <w:t>               </w:t>
      </w:r>
    </w:p>
    <w:p>
      <w:pPr>
        <w:pStyle w:val="4"/>
        <w:widowControl/>
        <w:spacing w:before="75" w:beforeAutospacing="0" w:after="75" w:afterAutospacing="0"/>
        <w:ind w:left="0" w:right="0" w:firstLine="0"/>
      </w:pPr>
      <w:r>
        <w:rPr>
          <w:rStyle w:val="6"/>
          <w:rFonts w:hint="eastAsia" w:ascii="宋体" w:hAnsi="宋体" w:eastAsia="宋体" w:cs="宋体"/>
          <w:spacing w:val="0"/>
          <w:sz w:val="36"/>
          <w:szCs w:val="36"/>
        </w:rPr>
        <w:t>    </w:t>
      </w:r>
      <w:r>
        <w:rPr>
          <w:rStyle w:val="6"/>
          <w:rFonts w:hint="eastAsia" w:ascii="宋体" w:hAnsi="宋体" w:eastAsia="宋体" w:cs="宋体"/>
          <w:spacing w:val="0"/>
          <w:sz w:val="24"/>
          <w:szCs w:val="24"/>
        </w:rPr>
        <w:t>日   期 ：</w:t>
      </w:r>
      <w:r>
        <w:rPr>
          <w:rStyle w:val="6"/>
          <w:rFonts w:hint="eastAsia" w:ascii="宋体" w:hAnsi="宋体" w:eastAsia="宋体" w:cs="宋体"/>
          <w:spacing w:val="0"/>
          <w:sz w:val="24"/>
          <w:szCs w:val="24"/>
          <w:u w:val="single"/>
        </w:rPr>
        <w:t>               </w:t>
      </w:r>
    </w:p>
    <w:p>
      <w:pPr>
        <w:pStyle w:val="4"/>
        <w:widowControl/>
        <w:spacing w:before="75" w:beforeAutospacing="0" w:after="75" w:afterAutospacing="0"/>
        <w:ind w:left="0" w:right="0" w:firstLine="0"/>
        <w:jc w:val="center"/>
        <w:rPr>
          <w:rStyle w:val="6"/>
          <w:rFonts w:hint="eastAsia" w:ascii="宋体" w:hAnsi="宋体" w:eastAsia="宋体" w:cs="宋体"/>
          <w:spacing w:val="0"/>
          <w:sz w:val="24"/>
          <w:szCs w:val="24"/>
          <w:u w:val="single"/>
        </w:rPr>
      </w:pPr>
      <w:r>
        <w:rPr>
          <w:rStyle w:val="6"/>
          <w:rFonts w:hint="eastAsia" w:ascii="宋体" w:hAnsi="宋体" w:eastAsia="宋体" w:cs="宋体"/>
          <w:spacing w:val="0"/>
          <w:sz w:val="24"/>
          <w:szCs w:val="24"/>
          <w:u w:val="single"/>
        </w:rPr>
        <w:br w:type="textWrapping"/>
      </w:r>
      <w:r>
        <w:rPr>
          <w:rStyle w:val="6"/>
          <w:rFonts w:hint="eastAsia" w:ascii="宋体" w:hAnsi="宋体" w:eastAsia="宋体" w:cs="宋体"/>
          <w:spacing w:val="0"/>
          <w:sz w:val="24"/>
          <w:szCs w:val="24"/>
          <w:u w:val="single"/>
        </w:rPr>
        <w:br w:type="textWrapping"/>
      </w:r>
      <w:r>
        <w:rPr>
          <w:rStyle w:val="6"/>
          <w:rFonts w:hint="eastAsia" w:ascii="宋体" w:hAnsi="宋体" w:eastAsia="宋体" w:cs="宋体"/>
          <w:spacing w:val="0"/>
          <w:sz w:val="24"/>
          <w:szCs w:val="24"/>
          <w:u w:val="single"/>
        </w:rPr>
        <w:br w:type="textWrapping"/>
      </w:r>
    </w:p>
    <w:p>
      <w:pPr>
        <w:pStyle w:val="4"/>
        <w:widowControl/>
        <w:spacing w:before="75" w:beforeAutospacing="0" w:after="75" w:afterAutospacing="0"/>
        <w:ind w:left="0" w:right="0" w:firstLine="0"/>
        <w:jc w:val="center"/>
        <w:rPr>
          <w:rStyle w:val="6"/>
          <w:rFonts w:hint="eastAsia" w:ascii="宋体" w:hAnsi="宋体" w:eastAsia="宋体" w:cs="宋体"/>
          <w:spacing w:val="0"/>
          <w:sz w:val="24"/>
          <w:szCs w:val="24"/>
          <w:u w:val="single"/>
        </w:rPr>
      </w:pPr>
      <w:r>
        <w:rPr>
          <w:rStyle w:val="6"/>
          <w:rFonts w:hint="eastAsia" w:ascii="宋体" w:hAnsi="宋体" w:eastAsia="宋体" w:cs="宋体"/>
          <w:spacing w:val="0"/>
          <w:sz w:val="24"/>
          <w:szCs w:val="24"/>
          <w:u w:val="single"/>
        </w:rPr>
        <w:br w:type="page"/>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36"/>
          <w:szCs w:val="36"/>
        </w:rPr>
        <w:t>目  录</w:t>
      </w:r>
    </w:p>
    <w:p>
      <w:pPr>
        <w:pStyle w:val="4"/>
        <w:widowControl/>
        <w:spacing w:before="75" w:beforeAutospacing="0" w:after="75" w:afterAutospacing="0" w:line="465" w:lineRule="atLeast"/>
        <w:ind w:left="0" w:right="0" w:firstLine="0"/>
      </w:pPr>
      <w:r>
        <w:rPr>
          <w:spacing w:val="0"/>
          <w:sz w:val="24"/>
          <w:szCs w:val="24"/>
        </w:rPr>
        <w:t> </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附件1：响应函</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附件4：磋商保证金凭证</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附件5：技术和商务偏离表</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附件7：供应商提交的其他资料</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4"/>
        <w:widowControl/>
        <w:spacing w:before="75" w:beforeAutospacing="0" w:after="75" w:afterAutospacing="0" w:line="465" w:lineRule="atLeast"/>
        <w:ind w:left="0" w:right="0" w:firstLine="0"/>
      </w:pPr>
      <w:r>
        <w:rPr>
          <w:spacing w:val="0"/>
          <w:sz w:val="24"/>
          <w:szCs w:val="24"/>
        </w:rPr>
        <w:t> </w:t>
      </w:r>
    </w:p>
    <w:p>
      <w:pPr>
        <w:pStyle w:val="4"/>
        <w:widowControl/>
        <w:spacing w:before="75" w:beforeAutospacing="0" w:after="240" w:afterAutospacing="0" w:line="49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95" w:lineRule="atLeast"/>
        <w:ind w:left="0" w:right="0" w:firstLine="0"/>
      </w:pPr>
      <w:r>
        <w:rPr>
          <w:rFonts w:hint="eastAsia" w:ascii="宋体" w:hAnsi="宋体" w:eastAsia="宋体" w:cs="宋体"/>
          <w:spacing w:val="0"/>
          <w:sz w:val="24"/>
          <w:szCs w:val="24"/>
        </w:rPr>
        <w:t>附件1</w:t>
      </w:r>
      <w:r>
        <w:rPr>
          <w:rFonts w:hint="eastAsia" w:ascii="宋体" w:hAnsi="宋体" w:eastAsia="宋体" w:cs="宋体"/>
          <w:spacing w:val="0"/>
          <w:sz w:val="21"/>
          <w:szCs w:val="21"/>
        </w:rPr>
        <w:t> </w:t>
      </w:r>
      <w:r>
        <w:rPr>
          <w:rFonts w:hint="eastAsia" w:ascii="宋体" w:hAnsi="宋体" w:eastAsia="宋体" w:cs="宋体"/>
          <w:spacing w:val="0"/>
          <w:sz w:val="28"/>
          <w:szCs w:val="28"/>
        </w:rPr>
        <w:t>              </w:t>
      </w:r>
      <w:r>
        <w:rPr>
          <w:rStyle w:val="6"/>
          <w:rFonts w:hint="eastAsia" w:ascii="宋体" w:hAnsi="宋体" w:eastAsia="宋体" w:cs="宋体"/>
          <w:spacing w:val="0"/>
          <w:sz w:val="36"/>
          <w:szCs w:val="36"/>
        </w:rPr>
        <w:t>磋商响应声明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1.根据贵方为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）的采购公告（或采购邀请书），我方签字代表</w:t>
      </w:r>
      <w:r>
        <w:rPr>
          <w:rFonts w:hint="eastAsia" w:ascii="宋体" w:hAnsi="宋体" w:eastAsia="宋体" w:cs="宋体"/>
          <w:spacing w:val="0"/>
          <w:sz w:val="24"/>
          <w:szCs w:val="24"/>
          <w:u w:val="single"/>
        </w:rPr>
        <w:t>          （全名、职务）   </w:t>
      </w:r>
      <w:r>
        <w:rPr>
          <w:rFonts w:hint="eastAsia" w:ascii="宋体" w:hAnsi="宋体" w:eastAsia="宋体" w:cs="宋体"/>
          <w:spacing w:val="0"/>
          <w:sz w:val="24"/>
          <w:szCs w:val="24"/>
        </w:rPr>
        <w:t>经正式授权并代表的供应商</w:t>
      </w:r>
      <w:r>
        <w:rPr>
          <w:rFonts w:hint="eastAsia" w:ascii="宋体" w:hAnsi="宋体" w:eastAsia="宋体" w:cs="宋体"/>
          <w:spacing w:val="0"/>
          <w:sz w:val="24"/>
          <w:szCs w:val="24"/>
          <w:u w:val="single"/>
        </w:rPr>
        <w:t>          （供应商名称、地址）    </w:t>
      </w:r>
      <w:r>
        <w:rPr>
          <w:rFonts w:hint="eastAsia" w:ascii="宋体" w:hAnsi="宋体" w:eastAsia="宋体" w:cs="宋体"/>
          <w:spacing w:val="0"/>
          <w:sz w:val="24"/>
          <w:szCs w:val="24"/>
        </w:rPr>
        <w:t>提交包含下述内容的首次响应文件纸质文本正本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套，副本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套及电子文档</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（8）按照磋商文件规定，要求作为响应文件组成部分的其他内容（若有）</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2.4我方已经按照磋商文件要求提交磋商保证金。我方如果发生任何竞争性磋商文件中所述不予退还磋商保证金的情况，则我方的磋商保证金将被贵方不予退还，我方对此无异议。</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2.5我方愿意向贵方提供任何与本项目磋商采购有关的数据或资料。若贵方需要，我方愿意提供我方作出的一切承诺的证明材料。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4"/>
        <w:widowControl/>
        <w:spacing w:before="75" w:beforeAutospacing="0" w:after="75" w:afterAutospacing="0" w:line="435" w:lineRule="atLeast"/>
        <w:ind w:left="0" w:right="0" w:firstLine="0"/>
      </w:pPr>
      <w:r>
        <w:rPr>
          <w:spacing w:val="0"/>
          <w:sz w:val="24"/>
          <w:szCs w:val="24"/>
        </w:rPr>
        <w:t> </w:t>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720"/>
      </w:pPr>
      <w:r>
        <w:rPr>
          <w:rFonts w:hint="eastAsia" w:ascii="宋体" w:hAnsi="宋体" w:eastAsia="宋体" w:cs="宋体"/>
          <w:spacing w:val="0"/>
          <w:sz w:val="24"/>
          <w:szCs w:val="24"/>
        </w:rPr>
        <w:t>通信地址:</w:t>
      </w:r>
      <w:r>
        <w:rPr>
          <w:rFonts w:hint="eastAsia" w:ascii="宋体" w:hAnsi="宋体" w:eastAsia="宋体" w:cs="宋体"/>
          <w:spacing w:val="0"/>
          <w:sz w:val="24"/>
          <w:szCs w:val="24"/>
          <w:u w:val="single"/>
        </w:rPr>
        <w:t xml:space="preserve">        </w:t>
      </w:r>
    </w:p>
    <w:p>
      <w:pPr>
        <w:pStyle w:val="4"/>
        <w:widowControl/>
        <w:spacing w:before="75" w:beforeAutospacing="0" w:after="75" w:afterAutospacing="0" w:line="435" w:lineRule="atLeast"/>
        <w:ind w:left="0" w:right="0" w:firstLine="720"/>
      </w:pPr>
      <w:r>
        <w:rPr>
          <w:rFonts w:hint="eastAsia" w:ascii="宋体" w:hAnsi="宋体" w:eastAsia="宋体" w:cs="宋体"/>
          <w:spacing w:val="0"/>
          <w:sz w:val="24"/>
          <w:szCs w:val="24"/>
        </w:rPr>
        <w:t>邮编：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传真号：</w:t>
      </w:r>
      <w:r>
        <w:rPr>
          <w:rFonts w:hint="eastAsia" w:ascii="宋体" w:hAnsi="宋体" w:eastAsia="宋体" w:cs="宋体"/>
          <w:spacing w:val="0"/>
          <w:sz w:val="24"/>
          <w:szCs w:val="24"/>
          <w:u w:val="single"/>
        </w:rPr>
        <w:t xml:space="preserve">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r>
        <w:rPr>
          <w:rFonts w:hint="eastAsia" w:ascii="宋体" w:hAnsi="宋体" w:eastAsia="宋体" w:cs="宋体"/>
          <w:spacing w:val="0"/>
          <w:sz w:val="24"/>
          <w:szCs w:val="24"/>
          <w:u w:val="single"/>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供应商：</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Style w:val="6"/>
          <w:rFonts w:ascii="仿宋_GB2312" w:eastAsia="仿宋_GB2312" w:cs="仿宋_GB2312"/>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6"/>
          <w:rFonts w:hint="eastAsia" w:ascii="宋体" w:hAnsi="宋体" w:eastAsia="宋体" w:cs="宋体"/>
          <w:spacing w:val="0"/>
          <w:sz w:val="36"/>
          <w:szCs w:val="36"/>
        </w:rPr>
        <w:t>报价一览表</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（全称加盖单位公章）</w:t>
      </w: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货币单位：元人民币</w:t>
      </w:r>
    </w:p>
    <w:tbl>
      <w:tblPr>
        <w:tblStyle w:val="8"/>
        <w:tblW w:w="8773"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6"/>
        <w:gridCol w:w="3641"/>
        <w:gridCol w:w="1773"/>
        <w:gridCol w:w="1012"/>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6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743"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982"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4"/>
                <w:szCs w:val="24"/>
              </w:rPr>
              <w:t>磋商保证金</w:t>
            </w:r>
          </w:p>
        </w:tc>
        <w:tc>
          <w:tcPr>
            <w:tcW w:w="1246"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eastAsia" w:ascii="宋体" w:hAnsi="宋体" w:eastAsia="宋体" w:cs="宋体"/>
                <w:spacing w:val="0"/>
                <w:sz w:val="21"/>
                <w:szCs w:val="21"/>
              </w:rPr>
              <w:t>*</w:t>
            </w:r>
          </w:p>
        </w:tc>
        <w:tc>
          <w:tcPr>
            <w:tcW w:w="3611" w:type="dxa"/>
            <w:tcMar>
              <w:top w:w="0" w:type="dxa"/>
              <w:left w:w="105" w:type="dxa"/>
              <w:bottom w:w="0" w:type="dxa"/>
              <w:right w:w="105" w:type="dxa"/>
            </w:tcMar>
            <w:vAlign w:val="center"/>
          </w:tcPr>
          <w:p>
            <w:pPr>
              <w:widowControl/>
              <w:jc w:val="left"/>
            </w:pPr>
          </w:p>
        </w:tc>
        <w:tc>
          <w:tcPr>
            <w:tcW w:w="1743" w:type="dxa"/>
            <w:tcMar>
              <w:top w:w="0" w:type="dxa"/>
              <w:left w:w="105" w:type="dxa"/>
              <w:bottom w:w="0" w:type="dxa"/>
              <w:right w:w="105" w:type="dxa"/>
            </w:tcMar>
            <w:vAlign w:val="center"/>
          </w:tcPr>
          <w:p>
            <w:pPr>
              <w:widowControl/>
              <w:jc w:val="left"/>
            </w:pPr>
          </w:p>
        </w:tc>
        <w:tc>
          <w:tcPr>
            <w:tcW w:w="982" w:type="dxa"/>
            <w:tcMar>
              <w:top w:w="0" w:type="dxa"/>
              <w:left w:w="105" w:type="dxa"/>
              <w:bottom w:w="0" w:type="dxa"/>
              <w:right w:w="105" w:type="dxa"/>
            </w:tcMar>
            <w:vAlign w:val="center"/>
          </w:tcPr>
          <w:p>
            <w:pPr>
              <w:widowControl/>
              <w:jc w:val="left"/>
            </w:pPr>
          </w:p>
        </w:tc>
        <w:tc>
          <w:tcPr>
            <w:tcW w:w="124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default" w:ascii="Calibri" w:hAnsi="Calibri" w:cs="Calibri"/>
                <w:spacing w:val="0"/>
                <w:sz w:val="21"/>
                <w:szCs w:val="21"/>
              </w:rPr>
              <w:t>…</w:t>
            </w:r>
          </w:p>
        </w:tc>
        <w:tc>
          <w:tcPr>
            <w:tcW w:w="3611" w:type="dxa"/>
            <w:tcMar>
              <w:top w:w="0" w:type="dxa"/>
              <w:left w:w="105" w:type="dxa"/>
              <w:bottom w:w="0" w:type="dxa"/>
              <w:right w:w="105" w:type="dxa"/>
            </w:tcMar>
            <w:vAlign w:val="center"/>
          </w:tcPr>
          <w:p>
            <w:pPr>
              <w:widowControl/>
              <w:jc w:val="left"/>
            </w:pPr>
          </w:p>
        </w:tc>
        <w:tc>
          <w:tcPr>
            <w:tcW w:w="1743" w:type="dxa"/>
            <w:tcMar>
              <w:top w:w="0" w:type="dxa"/>
              <w:left w:w="105" w:type="dxa"/>
              <w:bottom w:w="0" w:type="dxa"/>
              <w:right w:w="105" w:type="dxa"/>
            </w:tcMar>
            <w:vAlign w:val="center"/>
          </w:tcPr>
          <w:p>
            <w:pPr>
              <w:widowControl/>
              <w:jc w:val="left"/>
            </w:pPr>
          </w:p>
        </w:tc>
        <w:tc>
          <w:tcPr>
            <w:tcW w:w="982" w:type="dxa"/>
            <w:tcMar>
              <w:top w:w="0" w:type="dxa"/>
              <w:left w:w="105" w:type="dxa"/>
              <w:bottom w:w="0" w:type="dxa"/>
              <w:right w:w="105" w:type="dxa"/>
            </w:tcMar>
            <w:vAlign w:val="center"/>
          </w:tcPr>
          <w:p>
            <w:pPr>
              <w:widowControl/>
              <w:jc w:val="left"/>
            </w:pPr>
          </w:p>
        </w:tc>
        <w:tc>
          <w:tcPr>
            <w:tcW w:w="124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default" w:ascii="Calibri" w:hAnsi="Calibri" w:cs="Calibri"/>
                <w:spacing w:val="0"/>
                <w:sz w:val="21"/>
                <w:szCs w:val="21"/>
              </w:rPr>
              <w:t>…</w:t>
            </w:r>
          </w:p>
        </w:tc>
        <w:tc>
          <w:tcPr>
            <w:tcW w:w="3611" w:type="dxa"/>
            <w:tcMar>
              <w:top w:w="0" w:type="dxa"/>
              <w:left w:w="105" w:type="dxa"/>
              <w:bottom w:w="0" w:type="dxa"/>
              <w:right w:w="105" w:type="dxa"/>
            </w:tcMar>
            <w:vAlign w:val="center"/>
          </w:tcPr>
          <w:p>
            <w:pPr>
              <w:widowControl/>
              <w:jc w:val="left"/>
            </w:pPr>
          </w:p>
        </w:tc>
        <w:tc>
          <w:tcPr>
            <w:tcW w:w="1743" w:type="dxa"/>
            <w:tcMar>
              <w:top w:w="0" w:type="dxa"/>
              <w:left w:w="105" w:type="dxa"/>
              <w:bottom w:w="0" w:type="dxa"/>
              <w:right w:w="105" w:type="dxa"/>
            </w:tcMar>
            <w:vAlign w:val="center"/>
          </w:tcPr>
          <w:p>
            <w:pPr>
              <w:widowControl/>
              <w:jc w:val="left"/>
            </w:pPr>
          </w:p>
        </w:tc>
        <w:tc>
          <w:tcPr>
            <w:tcW w:w="982" w:type="dxa"/>
            <w:tcMar>
              <w:top w:w="0" w:type="dxa"/>
              <w:left w:w="105" w:type="dxa"/>
              <w:bottom w:w="0" w:type="dxa"/>
              <w:right w:w="105" w:type="dxa"/>
            </w:tcMar>
            <w:vAlign w:val="center"/>
          </w:tcPr>
          <w:p>
            <w:pPr>
              <w:widowControl/>
              <w:jc w:val="left"/>
            </w:pPr>
          </w:p>
        </w:tc>
        <w:tc>
          <w:tcPr>
            <w:tcW w:w="124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default" w:ascii="Calibri" w:hAnsi="Calibri" w:cs="Calibri"/>
                <w:spacing w:val="0"/>
                <w:sz w:val="21"/>
                <w:szCs w:val="21"/>
              </w:rPr>
              <w:t>…</w:t>
            </w:r>
          </w:p>
        </w:tc>
        <w:tc>
          <w:tcPr>
            <w:tcW w:w="3611" w:type="dxa"/>
            <w:tcMar>
              <w:top w:w="0" w:type="dxa"/>
              <w:left w:w="105" w:type="dxa"/>
              <w:bottom w:w="0" w:type="dxa"/>
              <w:right w:w="105" w:type="dxa"/>
            </w:tcMar>
            <w:vAlign w:val="center"/>
          </w:tcPr>
          <w:p>
            <w:pPr>
              <w:widowControl/>
              <w:jc w:val="left"/>
            </w:pPr>
          </w:p>
        </w:tc>
        <w:tc>
          <w:tcPr>
            <w:tcW w:w="1743" w:type="dxa"/>
            <w:tcMar>
              <w:top w:w="0" w:type="dxa"/>
              <w:left w:w="105" w:type="dxa"/>
              <w:bottom w:w="0" w:type="dxa"/>
              <w:right w:w="105" w:type="dxa"/>
            </w:tcMar>
            <w:vAlign w:val="center"/>
          </w:tcPr>
          <w:p>
            <w:pPr>
              <w:widowControl/>
              <w:jc w:val="left"/>
            </w:pPr>
          </w:p>
        </w:tc>
        <w:tc>
          <w:tcPr>
            <w:tcW w:w="982" w:type="dxa"/>
            <w:tcMar>
              <w:top w:w="0" w:type="dxa"/>
              <w:left w:w="105" w:type="dxa"/>
              <w:bottom w:w="0" w:type="dxa"/>
              <w:right w:w="105" w:type="dxa"/>
            </w:tcMar>
            <w:vAlign w:val="center"/>
          </w:tcPr>
          <w:p>
            <w:pPr>
              <w:widowControl/>
              <w:jc w:val="left"/>
            </w:pPr>
          </w:p>
        </w:tc>
        <w:tc>
          <w:tcPr>
            <w:tcW w:w="124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11" w:type="dxa"/>
            <w:tcMar>
              <w:top w:w="0" w:type="dxa"/>
              <w:left w:w="105" w:type="dxa"/>
              <w:bottom w:w="0" w:type="dxa"/>
              <w:right w:w="105" w:type="dxa"/>
            </w:tcMar>
            <w:vAlign w:val="center"/>
          </w:tcPr>
          <w:p>
            <w:pPr>
              <w:pStyle w:val="4"/>
              <w:widowControl/>
              <w:spacing w:before="0" w:beforeAutospacing="0" w:after="0" w:afterAutospacing="0" w:line="465" w:lineRule="atLeast"/>
              <w:ind w:left="0" w:right="0"/>
            </w:pPr>
            <w:r>
              <w:rPr>
                <w:rFonts w:hint="default" w:ascii="Calibri" w:hAnsi="Calibri" w:cs="Calibri"/>
                <w:spacing w:val="0"/>
                <w:sz w:val="21"/>
                <w:szCs w:val="21"/>
              </w:rPr>
              <w:t>…</w:t>
            </w:r>
          </w:p>
        </w:tc>
        <w:tc>
          <w:tcPr>
            <w:tcW w:w="3611" w:type="dxa"/>
            <w:tcMar>
              <w:top w:w="0" w:type="dxa"/>
              <w:left w:w="105" w:type="dxa"/>
              <w:bottom w:w="0" w:type="dxa"/>
              <w:right w:w="105" w:type="dxa"/>
            </w:tcMar>
            <w:vAlign w:val="center"/>
          </w:tcPr>
          <w:p>
            <w:pPr>
              <w:widowControl/>
              <w:jc w:val="left"/>
            </w:pPr>
          </w:p>
        </w:tc>
        <w:tc>
          <w:tcPr>
            <w:tcW w:w="1743" w:type="dxa"/>
            <w:tcMar>
              <w:top w:w="0" w:type="dxa"/>
              <w:left w:w="105" w:type="dxa"/>
              <w:bottom w:w="0" w:type="dxa"/>
              <w:right w:w="105" w:type="dxa"/>
            </w:tcMar>
            <w:vAlign w:val="center"/>
          </w:tcPr>
          <w:p>
            <w:pPr>
              <w:widowControl/>
              <w:jc w:val="left"/>
            </w:pPr>
          </w:p>
        </w:tc>
        <w:tc>
          <w:tcPr>
            <w:tcW w:w="982" w:type="dxa"/>
            <w:tcMar>
              <w:top w:w="0" w:type="dxa"/>
              <w:left w:w="105" w:type="dxa"/>
              <w:bottom w:w="0" w:type="dxa"/>
              <w:right w:w="105" w:type="dxa"/>
            </w:tcMar>
            <w:vAlign w:val="center"/>
          </w:tcPr>
          <w:p>
            <w:pPr>
              <w:widowControl/>
              <w:jc w:val="left"/>
            </w:pPr>
          </w:p>
        </w:tc>
        <w:tc>
          <w:tcPr>
            <w:tcW w:w="1246" w:type="dxa"/>
            <w:tcMar>
              <w:top w:w="0" w:type="dxa"/>
              <w:left w:w="105" w:type="dxa"/>
              <w:bottom w:w="0" w:type="dxa"/>
              <w:right w:w="105" w:type="dxa"/>
            </w:tcMar>
            <w:vAlign w:val="center"/>
          </w:tcPr>
          <w:p>
            <w:pPr>
              <w:widowControl/>
              <w:jc w:val="left"/>
            </w:pPr>
          </w:p>
        </w:tc>
      </w:tr>
    </w:tbl>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w:t>
      </w: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28"/>
          <w:szCs w:val="28"/>
        </w:rPr>
        <w:t>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 </w:t>
      </w:r>
      <w:r>
        <w:rPr>
          <w:rStyle w:val="6"/>
          <w:rFonts w:hint="eastAsia" w:ascii="宋体" w:hAnsi="宋体" w:eastAsia="宋体" w:cs="宋体"/>
          <w:spacing w:val="0"/>
          <w:sz w:val="36"/>
          <w:szCs w:val="36"/>
        </w:rPr>
        <w:t>详细报价书</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说明：</w:t>
      </w:r>
    </w:p>
    <w:p>
      <w:pPr>
        <w:pStyle w:val="4"/>
        <w:widowControl/>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4"/>
        <w:widowControl/>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4"/>
        <w:widowControl/>
        <w:spacing w:before="75" w:beforeAutospacing="0" w:after="75" w:afterAutospacing="0" w:line="495" w:lineRule="atLeast"/>
        <w:ind w:left="0" w:right="0" w:firstLine="480"/>
      </w:pPr>
      <w:r>
        <w:rPr>
          <w:spacing w:val="0"/>
          <w:sz w:val="24"/>
          <w:szCs w:val="24"/>
        </w:rPr>
        <w:t> </w:t>
      </w:r>
    </w:p>
    <w:p>
      <w:pPr>
        <w:pStyle w:val="4"/>
        <w:widowControl/>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附件3         </w:t>
      </w:r>
      <w:r>
        <w:rPr>
          <w:rStyle w:val="6"/>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6"/>
          <w:rFonts w:hint="eastAsia" w:ascii="宋体" w:hAnsi="宋体" w:eastAsia="宋体" w:cs="宋体"/>
          <w:spacing w:val="0"/>
          <w:sz w:val="24"/>
          <w:szCs w:val="24"/>
        </w:rPr>
        <w:t>参加竞争性磋商的声明函</w:t>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2.2注册地址：</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2.3单位负责人姓名：</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性别：</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职务：</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对于接受联合体形式的磋商且供应商是联合体的，则联合体各成员都应当提交本资格证明文件。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附件3-2        </w:t>
      </w:r>
      <w:r>
        <w:rPr>
          <w:rStyle w:val="6"/>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line="375" w:lineRule="atLeast"/>
        <w:ind w:left="0" w:right="0" w:firstLine="0"/>
        <w:jc w:val="both"/>
      </w:pPr>
      <w:r>
        <w:rPr>
          <w:rStyle w:val="6"/>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8"/>
        <w:tblW w:w="851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99"/>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Style w:val="6"/>
                <w:rFonts w:hint="eastAsia" w:ascii="宋体" w:hAnsi="宋体" w:eastAsia="宋体" w:cs="宋体"/>
                <w:spacing w:val="0"/>
                <w:sz w:val="24"/>
                <w:szCs w:val="24"/>
              </w:rPr>
              <w:t>《中华人民共和国政府采购法》第二十二条对供应商的要求</w:t>
            </w:r>
          </w:p>
        </w:tc>
        <w:tc>
          <w:tcPr>
            <w:tcW w:w="2875"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Style w:val="6"/>
                <w:rFonts w:hint="eastAsia" w:ascii="宋体" w:hAnsi="宋体" w:eastAsia="宋体" w:cs="宋体"/>
                <w:spacing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（1）具有独立承担民事责任的能力</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（2）具有良好的商业信誉和健全的财务会计制度</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（3）具有履行合同所必需的设备和专业技术能力</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（4）有依法缴纳税收和社会保障资金的良好记录</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（5）参加政府采购活动前三年内，在经营活动中没有重大违法记录</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（6）法律、行政法规规定的其他条件。</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Style w:val="6"/>
                <w:rFonts w:hint="eastAsia" w:ascii="宋体" w:hAnsi="宋体" w:eastAsia="宋体" w:cs="宋体"/>
                <w:spacing w:val="0"/>
                <w:sz w:val="24"/>
                <w:szCs w:val="24"/>
              </w:rPr>
              <w:t>磋商文件对合格供应商的一般规定</w:t>
            </w:r>
          </w:p>
        </w:tc>
        <w:tc>
          <w:tcPr>
            <w:tcW w:w="2875"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Style w:val="6"/>
                <w:rFonts w:hint="eastAsia" w:ascii="宋体" w:hAnsi="宋体" w:eastAsia="宋体" w:cs="宋体"/>
                <w:spacing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75"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5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firstLine="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75" w:type="dxa"/>
            <w:tcMar>
              <w:top w:w="0" w:type="dxa"/>
              <w:left w:w="105" w:type="dxa"/>
              <w:bottom w:w="0" w:type="dxa"/>
              <w:right w:w="105" w:type="dxa"/>
            </w:tcMar>
            <w:vAlign w:val="center"/>
          </w:tcPr>
          <w:p>
            <w:pPr>
              <w:widowControl/>
              <w:jc w:val="left"/>
            </w:pPr>
          </w:p>
        </w:tc>
      </w:tr>
    </w:tbl>
    <w:p>
      <w:pPr>
        <w:pStyle w:val="4"/>
        <w:widowControl/>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2、我方对上述声明的真实性、合法性、准确性、有效性负责，并愿意根据磋商文件和磋商过程中贵方要求提供全部现有资料、数据、文件等予以证实。</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备注：对于接受联合体形式的磋商且供应商是联合体的，则联合体各成员都应当提交本资格证明文件。</w:t>
      </w:r>
    </w:p>
    <w:p>
      <w:pPr>
        <w:pStyle w:val="4"/>
        <w:widowControl/>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240" w:afterAutospacing="0"/>
        <w:ind w:left="0" w:right="0" w:firstLine="0"/>
      </w:pP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6"/>
          <w:rFonts w:hint="eastAsia" w:ascii="宋体" w:hAnsi="宋体" w:eastAsia="宋体" w:cs="宋体"/>
          <w:spacing w:val="0"/>
          <w:sz w:val="24"/>
          <w:szCs w:val="24"/>
        </w:rPr>
        <w:t>单位负责人授权书</w:t>
      </w:r>
    </w:p>
    <w:p>
      <w:pPr>
        <w:pStyle w:val="4"/>
        <w:widowControl/>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4"/>
        <w:widowControl/>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w:t>
      </w:r>
      <w:r>
        <w:rPr>
          <w:rFonts w:hint="eastAsia" w:ascii="宋体" w:hAnsi="宋体" w:eastAsia="宋体" w:cs="宋体"/>
          <w:spacing w:val="0"/>
          <w:sz w:val="24"/>
          <w:szCs w:val="24"/>
          <w:u w:val="single"/>
        </w:rPr>
        <w:t>（填写“单位负责人全名”）</w:t>
      </w:r>
      <w:r>
        <w:rPr>
          <w:rFonts w:hint="eastAsia" w:ascii="宋体" w:hAnsi="宋体" w:eastAsia="宋体" w:cs="宋体"/>
          <w:spacing w:val="0"/>
          <w:sz w:val="24"/>
          <w:szCs w:val="24"/>
        </w:rPr>
        <w:t>授权</w:t>
      </w:r>
      <w:r>
        <w:rPr>
          <w:rFonts w:hint="eastAsia" w:ascii="宋体" w:hAnsi="宋体" w:eastAsia="宋体" w:cs="宋体"/>
          <w:spacing w:val="0"/>
          <w:sz w:val="24"/>
          <w:szCs w:val="24"/>
          <w:u w:val="single"/>
        </w:rPr>
        <w:t>（填写“供应商代表全名”）</w:t>
      </w:r>
      <w:r>
        <w:rPr>
          <w:rFonts w:hint="eastAsia" w:ascii="宋体" w:hAnsi="宋体" w:eastAsia="宋体" w:cs="宋体"/>
          <w:spacing w:val="0"/>
          <w:sz w:val="24"/>
          <w:szCs w:val="24"/>
        </w:rPr>
        <w:t>为我方的供应商代表，代表我方参加</w:t>
      </w:r>
      <w:r>
        <w:rPr>
          <w:rFonts w:hint="eastAsia" w:ascii="宋体" w:hAnsi="宋体" w:eastAsia="宋体" w:cs="宋体"/>
          <w:spacing w:val="0"/>
          <w:sz w:val="24"/>
          <w:szCs w:val="24"/>
          <w:u w:val="single"/>
        </w:rPr>
        <w:t>  （填写“项目名称”）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4"/>
        <w:widowControl/>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xml:space="preserve">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（全称并加盖单位公章）</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w:t>
      </w:r>
      <w:r>
        <w:rPr>
          <w:rFonts w:hint="eastAsia" w:ascii="宋体" w:hAnsi="宋体" w:eastAsia="宋体" w:cs="宋体"/>
          <w:spacing w:val="0"/>
          <w:sz w:val="24"/>
          <w:szCs w:val="24"/>
          <w:u w:val="single"/>
        </w:rPr>
        <w:t>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u w:val="single"/>
        </w:rPr>
        <w:t>                   </w:t>
      </w:r>
    </w:p>
    <w:p>
      <w:pPr>
        <w:pStyle w:val="4"/>
        <w:widowControl/>
        <w:spacing w:before="75" w:beforeAutospacing="0" w:after="75" w:afterAutospacing="0" w:line="360" w:lineRule="atLeast"/>
        <w:ind w:left="0" w:right="0" w:firstLine="0"/>
        <w:jc w:val="right"/>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8"/>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4"/>
              <w:widowControl/>
              <w:spacing w:before="0" w:beforeAutospacing="0" w:after="0" w:afterAutospacing="0" w:line="405" w:lineRule="atLeast"/>
              <w:ind w:left="0" w:right="0"/>
              <w:jc w:val="center"/>
            </w:pPr>
            <w:r>
              <w:rPr>
                <w:rStyle w:val="6"/>
                <w:rFonts w:hint="eastAsia" w:ascii="宋体" w:hAnsi="宋体" w:eastAsia="宋体" w:cs="宋体"/>
                <w:spacing w:val="0"/>
                <w:sz w:val="24"/>
                <w:szCs w:val="24"/>
              </w:rPr>
              <w:t> </w:t>
            </w:r>
          </w:p>
          <w:p>
            <w:pPr>
              <w:pStyle w:val="4"/>
              <w:widowControl/>
              <w:spacing w:before="0" w:beforeAutospacing="0" w:after="0" w:afterAutospacing="0" w:line="405" w:lineRule="atLeast"/>
              <w:ind w:left="0" w:right="0"/>
              <w:jc w:val="center"/>
            </w:pPr>
            <w:r>
              <w:rPr>
                <w:rStyle w:val="6"/>
                <w:rFonts w:hint="eastAsia" w:ascii="宋体" w:hAnsi="宋体" w:eastAsia="宋体" w:cs="宋体"/>
                <w:spacing w:val="0"/>
                <w:sz w:val="24"/>
                <w:szCs w:val="24"/>
              </w:rPr>
              <w:t>要求：真实、有效、清晰</w:t>
            </w:r>
          </w:p>
          <w:p>
            <w:pPr>
              <w:pStyle w:val="4"/>
              <w:widowControl/>
              <w:spacing w:before="0" w:beforeAutospacing="0" w:after="0" w:afterAutospacing="0" w:line="405" w:lineRule="atLeast"/>
              <w:ind w:left="0" w:right="0"/>
              <w:jc w:val="center"/>
            </w:pPr>
            <w:r>
              <w:rPr>
                <w:rStyle w:val="6"/>
                <w:rFonts w:hint="eastAsia" w:ascii="宋体" w:hAnsi="宋体" w:eastAsia="宋体" w:cs="宋体"/>
                <w:spacing w:val="0"/>
                <w:sz w:val="24"/>
                <w:szCs w:val="24"/>
              </w:rPr>
              <w:t> </w:t>
            </w:r>
          </w:p>
        </w:tc>
      </w:tr>
    </w:tbl>
    <w:p>
      <w:pPr>
        <w:pStyle w:val="4"/>
        <w:widowControl/>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4"/>
        <w:widowControl/>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6"/>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4"/>
        <w:widowControl/>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2、银行、保险、石油石化、电力、电信等行业：以法人身份参加磋商的，“单位负责人”指</w:t>
      </w:r>
      <w:r>
        <w:rPr>
          <w:rStyle w:val="6"/>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，即与实际提交的“营业执照等证明文件”载明的一致；以非法人身份参加磋商的，“单位负责人”指</w:t>
      </w:r>
      <w:r>
        <w:rPr>
          <w:rStyle w:val="6"/>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4"/>
        <w:widowControl/>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
        <w:widowControl/>
        <w:spacing w:before="75" w:beforeAutospacing="0" w:after="240" w:afterAutospacing="0" w:line="285" w:lineRule="atLeast"/>
        <w:ind w:left="0" w:right="0" w:firstLine="0"/>
        <w:jc w:val="both"/>
      </w:pPr>
      <w:r>
        <w:rPr>
          <w:rFonts w:hint="eastAsia" w:ascii="宋体" w:hAnsi="宋体" w:eastAsia="宋体" w:cs="宋体"/>
          <w:color w:val="0000FF"/>
          <w:spacing w:val="0"/>
          <w:sz w:val="21"/>
          <w:szCs w:val="21"/>
        </w:rPr>
        <w:t>4、</w:t>
      </w:r>
      <w:r>
        <w:rPr>
          <w:rFonts w:hint="eastAsia" w:ascii="宋体" w:hAnsi="宋体" w:eastAsia="宋体" w:cs="宋体"/>
          <w:spacing w:val="0"/>
          <w:sz w:val="21"/>
          <w:szCs w:val="21"/>
        </w:rPr>
        <w:t>对于接受联合体形式的磋商且供应商是联合体的，则只需要联合体的牵头方提交本授权书，在纸质响应文件正本中的本授权书应为原件。</w:t>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6"/>
          <w:rFonts w:hint="eastAsia" w:ascii="宋体" w:hAnsi="宋体" w:eastAsia="宋体" w:cs="宋体"/>
          <w:spacing w:val="0"/>
          <w:sz w:val="24"/>
          <w:szCs w:val="24"/>
        </w:rPr>
        <w:t>            营业执照等证明文件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签发的我方统一社会信用代码</w:t>
      </w:r>
      <w:r>
        <w:rPr>
          <w:rFonts w:hint="eastAsia" w:ascii="宋体" w:hAnsi="宋体" w:eastAsia="宋体" w:cs="宋体"/>
          <w:spacing w:val="0"/>
          <w:sz w:val="24"/>
          <w:szCs w:val="24"/>
          <w:u w:val="single"/>
        </w:rPr>
        <w:t>（请填写法人的具体证照名称）</w:t>
      </w:r>
      <w:r>
        <w:rPr>
          <w:rFonts w:hint="eastAsia" w:ascii="宋体" w:hAnsi="宋体" w:eastAsia="宋体" w:cs="宋体"/>
          <w:spacing w:val="0"/>
          <w:sz w:val="24"/>
          <w:szCs w:val="24"/>
        </w:rPr>
        <w:t>复印件，该证明材料真实有效，否则我方负全部责任。</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（请填写非自然人的非法人的具体证照名称）</w:t>
      </w:r>
      <w:r>
        <w:rPr>
          <w:rFonts w:hint="eastAsia" w:ascii="宋体" w:hAnsi="宋体" w:eastAsia="宋体" w:cs="宋体"/>
          <w:spacing w:val="0"/>
          <w:sz w:val="24"/>
          <w:szCs w:val="24"/>
        </w:rPr>
        <w:t>复印件，该证明材料真实有效，否则我方负全部责任。</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（请填写自然人的身份证件名称）</w:t>
      </w:r>
      <w:r>
        <w:rPr>
          <w:rFonts w:hint="eastAsia" w:ascii="宋体" w:hAnsi="宋体" w:eastAsia="宋体" w:cs="宋体"/>
          <w:spacing w:val="0"/>
          <w:sz w:val="24"/>
          <w:szCs w:val="24"/>
        </w:rPr>
        <w:t>复印件，该证明材料真实有效，否则我方负全部责任。</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★注意：</w:t>
      </w:r>
    </w:p>
    <w:p>
      <w:pPr>
        <w:pStyle w:val="4"/>
        <w:widowControl/>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widowControl/>
        <w:spacing w:before="75" w:beforeAutospacing="0" w:after="75" w:afterAutospacing="0"/>
        <w:ind w:left="0" w:right="0" w:firstLine="0"/>
      </w:pPr>
      <w:r>
        <w:rPr>
          <w:rFonts w:hint="eastAsia" w:ascii="宋体" w:hAnsi="宋体" w:eastAsia="宋体" w:cs="宋体"/>
          <w:spacing w:val="0"/>
          <w:sz w:val="24"/>
          <w:szCs w:val="24"/>
        </w:rPr>
        <w:t>4、对于接受联合体形式的磋商且供应商是联合体的，则联合体各成员都应当提交本资格证明文件。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附件3-5             </w:t>
      </w:r>
      <w:r>
        <w:rPr>
          <w:rStyle w:val="6"/>
          <w:rFonts w:hint="eastAsia" w:ascii="宋体" w:hAnsi="宋体" w:eastAsia="宋体" w:cs="宋体"/>
          <w:spacing w:val="0"/>
          <w:sz w:val="24"/>
          <w:szCs w:val="24"/>
        </w:rPr>
        <w:t>财务状况报告</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财务报告复印件，包括资产负债表、利润表、现金流量表、所有者权益变动表及其附注（若有），上述证明材料真实有效，否则我方负全部责任。</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财务报告复印件，包括资产负债表、收入支出表或收入费用表、财政补助收入支出表（若有），上述证明材料真实有效，否则我方负全部责任。</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财务报告复印件，包括资产负债表、业务活动表、现金流量表，上述证明材料真实有效，否则我方负全部责任。</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□非自然人适用：现附上我方开户（基本户）许可证复印件及我方银行：</w:t>
      </w:r>
      <w:r>
        <w:rPr>
          <w:rFonts w:hint="eastAsia" w:ascii="宋体" w:hAnsi="宋体" w:eastAsia="宋体" w:cs="宋体"/>
          <w:spacing w:val="0"/>
          <w:sz w:val="24"/>
          <w:szCs w:val="24"/>
          <w:u w:val="single"/>
        </w:rPr>
        <w:t>（填写“基本户的开户银行全称”）</w:t>
      </w:r>
      <w:r>
        <w:rPr>
          <w:rFonts w:hint="eastAsia" w:ascii="宋体" w:hAnsi="宋体" w:eastAsia="宋体" w:cs="宋体"/>
          <w:spacing w:val="0"/>
          <w:sz w:val="24"/>
          <w:szCs w:val="24"/>
        </w:rPr>
        <w:t>出具的资信证明复印件，上述证明材料真实有效，否则我方负全部责任。</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w:t>
      </w:r>
      <w:r>
        <w:rPr>
          <w:rFonts w:hint="eastAsia" w:ascii="宋体" w:hAnsi="宋体" w:eastAsia="宋体" w:cs="宋体"/>
          <w:spacing w:val="0"/>
          <w:sz w:val="24"/>
          <w:szCs w:val="24"/>
          <w:u w:val="single"/>
        </w:rPr>
        <w:t>（填写自然人的“个人账户的开户银行全称”）</w:t>
      </w:r>
      <w:r>
        <w:rPr>
          <w:rFonts w:hint="eastAsia" w:ascii="宋体" w:hAnsi="宋体" w:eastAsia="宋体" w:cs="宋体"/>
          <w:spacing w:val="0"/>
          <w:sz w:val="24"/>
          <w:szCs w:val="24"/>
        </w:rPr>
        <w:t>出具的资信证明复印件，上述证明材料真实有效，否则我方负全部责任。</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w:t>
      </w:r>
      <w:r>
        <w:rPr>
          <w:rFonts w:hint="eastAsia" w:ascii="宋体" w:hAnsi="宋体" w:eastAsia="宋体" w:cs="宋体"/>
          <w:spacing w:val="0"/>
          <w:sz w:val="24"/>
          <w:szCs w:val="24"/>
          <w:u w:val="single"/>
        </w:rPr>
        <w:t>（填写“担保机构全称”）</w:t>
      </w:r>
      <w:r>
        <w:rPr>
          <w:rFonts w:hint="eastAsia" w:ascii="宋体" w:hAnsi="宋体" w:eastAsia="宋体" w:cs="宋体"/>
          <w:spacing w:val="0"/>
          <w:sz w:val="24"/>
          <w:szCs w:val="24"/>
        </w:rPr>
        <w:t>出具的投标担保函复印件，上述证明材料真实有效，否则我方负全部责任。</w:t>
      </w:r>
    </w:p>
    <w:p>
      <w:pPr>
        <w:pStyle w:val="4"/>
        <w:widowControl/>
        <w:spacing w:before="75" w:beforeAutospacing="0" w:after="75" w:afterAutospacing="0"/>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1"/>
          <w:szCs w:val="21"/>
        </w:rPr>
        <w:t>★注意事项：</w:t>
      </w:r>
    </w:p>
    <w:p>
      <w:pPr>
        <w:pStyle w:val="4"/>
        <w:widowControl/>
        <w:spacing w:before="75" w:beforeAutospacing="0" w:after="75" w:afterAutospacing="0"/>
        <w:ind w:left="0" w:right="0" w:firstLine="420"/>
      </w:pPr>
      <w:r>
        <w:rPr>
          <w:rFonts w:hint="eastAsia" w:ascii="宋体" w:hAnsi="宋体" w:eastAsia="宋体" w:cs="宋体"/>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4"/>
        <w:widowControl/>
        <w:spacing w:before="75" w:beforeAutospacing="0" w:after="75" w:afterAutospacing="0"/>
        <w:ind w:left="0" w:right="0" w:firstLine="420"/>
      </w:pPr>
      <w:r>
        <w:rPr>
          <w:rFonts w:hint="eastAsia" w:ascii="宋体" w:hAnsi="宋体" w:eastAsia="宋体" w:cs="宋体"/>
          <w:spacing w:val="0"/>
          <w:sz w:val="24"/>
          <w:szCs w:val="24"/>
        </w:rPr>
        <w:t>2、供应商提供的财务报告复印件（成立年限按照首次响应文件递交截止时间推算）应符合下列规定：</w:t>
      </w:r>
    </w:p>
    <w:p>
      <w:pPr>
        <w:pStyle w:val="4"/>
        <w:widowControl/>
        <w:spacing w:before="75" w:beforeAutospacing="0" w:after="75" w:afterAutospacing="0"/>
        <w:ind w:left="0" w:right="0" w:firstLine="420"/>
      </w:pPr>
      <w:r>
        <w:rPr>
          <w:rFonts w:hint="eastAsia" w:ascii="宋体" w:hAnsi="宋体" w:eastAsia="宋体" w:cs="宋体"/>
          <w:spacing w:val="0"/>
          <w:sz w:val="24"/>
          <w:szCs w:val="24"/>
        </w:rPr>
        <w:t>2.1成立年限满1年及以上的供应商，提供经审计的上一年度的年度财务报告。</w:t>
      </w:r>
    </w:p>
    <w:p>
      <w:pPr>
        <w:pStyle w:val="4"/>
        <w:widowControl/>
        <w:spacing w:before="75" w:beforeAutospacing="0" w:after="75" w:afterAutospacing="0"/>
        <w:ind w:left="0" w:right="0" w:firstLine="420"/>
      </w:pPr>
      <w:r>
        <w:rPr>
          <w:rFonts w:hint="eastAsia" w:ascii="宋体" w:hAnsi="宋体" w:eastAsia="宋体" w:cs="宋体"/>
          <w:spacing w:val="0"/>
          <w:sz w:val="24"/>
          <w:szCs w:val="24"/>
        </w:rPr>
        <w:t>2.2成立年限满半年但不足1年的供应商，提供该半年度中任一季度的季度财务报告或该半年度的半年度财务报告。</w:t>
      </w:r>
    </w:p>
    <w:p>
      <w:pPr>
        <w:pStyle w:val="4"/>
        <w:widowControl/>
        <w:spacing w:before="75" w:beforeAutospacing="0" w:after="75" w:afterAutospacing="0"/>
        <w:ind w:left="0" w:right="0" w:firstLine="420"/>
      </w:pPr>
      <w:r>
        <w:rPr>
          <w:rStyle w:val="6"/>
          <w:rFonts w:hint="eastAsia" w:ascii="宋体" w:hAnsi="宋体" w:eastAsia="宋体" w:cs="宋体"/>
          <w:spacing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4"/>
        <w:widowControl/>
        <w:spacing w:before="75" w:beforeAutospacing="0" w:after="75" w:afterAutospacing="0"/>
        <w:ind w:left="0" w:right="0" w:firstLine="420"/>
      </w:pPr>
      <w:r>
        <w:rPr>
          <w:rFonts w:hint="eastAsia" w:ascii="宋体" w:hAnsi="宋体" w:eastAsia="宋体" w:cs="宋体"/>
          <w:spacing w:val="0"/>
          <w:sz w:val="24"/>
          <w:szCs w:val="24"/>
        </w:rPr>
        <w:t>3、“财政部门认可的政府采购专业担保机构”应符合《财政部关于开展政府采购信用担保试点工作方案》（财库[2012]124号）的规定。</w:t>
      </w:r>
    </w:p>
    <w:p>
      <w:pPr>
        <w:pStyle w:val="4"/>
        <w:widowControl/>
        <w:spacing w:before="75" w:beforeAutospacing="0" w:after="75" w:afterAutospacing="0"/>
        <w:ind w:left="0" w:right="0" w:firstLine="420"/>
      </w:pPr>
      <w:r>
        <w:rPr>
          <w:rFonts w:hint="eastAsia" w:ascii="宋体" w:hAnsi="宋体" w:eastAsia="宋体" w:cs="宋体"/>
          <w:spacing w:val="0"/>
          <w:sz w:val="24"/>
          <w:szCs w:val="24"/>
        </w:rPr>
        <w:t>4、供应商提供的相应证明材料复印件均应符合：内容完整、清晰、整洁，并由供应商加盖其单位公章。</w:t>
      </w:r>
    </w:p>
    <w:p>
      <w:pPr>
        <w:pStyle w:val="4"/>
        <w:widowControl/>
        <w:spacing w:before="75" w:beforeAutospacing="0" w:after="75" w:afterAutospacing="0" w:line="315" w:lineRule="atLeast"/>
        <w:ind w:left="0" w:right="0" w:firstLine="42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widowControl/>
        <w:spacing w:before="75" w:beforeAutospacing="0" w:after="75" w:afterAutospacing="0" w:line="435" w:lineRule="atLeast"/>
        <w:ind w:left="0" w:right="0" w:firstLine="0"/>
        <w:jc w:val="both"/>
      </w:pPr>
      <w:r>
        <w:rPr>
          <w:rStyle w:val="6"/>
          <w:rFonts w:hint="eastAsia" w:ascii="宋体" w:hAnsi="宋体" w:eastAsia="宋体" w:cs="宋体"/>
          <w:spacing w:val="0"/>
          <w:sz w:val="21"/>
          <w:szCs w:val="21"/>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附件3-6          </w:t>
      </w:r>
      <w:r>
        <w:rPr>
          <w:rStyle w:val="6"/>
          <w:rFonts w:hint="eastAsia" w:ascii="宋体" w:hAnsi="宋体" w:eastAsia="宋体" w:cs="宋体"/>
          <w:spacing w:val="0"/>
          <w:sz w:val="24"/>
          <w:szCs w:val="24"/>
        </w:rPr>
        <w:t>依法缴纳税收证明材料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1"/>
          <w:szCs w:val="21"/>
          <w:u w:val="single"/>
        </w:rPr>
        <w:t>   </w:t>
      </w:r>
    </w:p>
    <w:p>
      <w:pPr>
        <w:pStyle w:val="4"/>
        <w:widowControl/>
        <w:spacing w:before="75" w:beforeAutospacing="0" w:after="75" w:afterAutospacing="0"/>
        <w:ind w:left="0" w:right="0" w:firstLine="420"/>
      </w:pPr>
      <w:r>
        <w:rPr>
          <w:rStyle w:val="6"/>
          <w:rFonts w:hint="eastAsia" w:ascii="宋体" w:hAnsi="宋体" w:eastAsia="宋体" w:cs="宋体"/>
          <w:spacing w:val="0"/>
          <w:sz w:val="24"/>
          <w:szCs w:val="24"/>
        </w:rPr>
        <w:t>1、依法缴纳税收的供应商</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（按照供应商实际缴纳的税种名称填写，如：增值税、所得税等）</w:t>
      </w:r>
      <w:r>
        <w:rPr>
          <w:rFonts w:hint="eastAsia" w:ascii="宋体" w:hAnsi="宋体" w:eastAsia="宋体" w:cs="宋体"/>
          <w:spacing w:val="0"/>
          <w:sz w:val="24"/>
          <w:szCs w:val="24"/>
        </w:rPr>
        <w:t>税收凭据复印件，上述证明材料真实有效，否则我方负全部责任。</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w:t>
      </w:r>
      <w:r>
        <w:rPr>
          <w:rFonts w:hint="eastAsia" w:ascii="宋体" w:hAnsi="宋体" w:eastAsia="宋体" w:cs="宋体"/>
          <w:spacing w:val="0"/>
          <w:sz w:val="24"/>
          <w:szCs w:val="24"/>
        </w:rPr>
        <w:t>税收凭据复印件，上述证明材料真实有效，否则我方负全部责任。</w:t>
      </w:r>
    </w:p>
    <w:p>
      <w:pPr>
        <w:pStyle w:val="4"/>
        <w:widowControl/>
        <w:spacing w:before="75" w:beforeAutospacing="0" w:after="75" w:afterAutospacing="0"/>
        <w:ind w:left="0" w:right="0" w:firstLine="420"/>
      </w:pPr>
      <w:r>
        <w:rPr>
          <w:rStyle w:val="6"/>
          <w:rFonts w:hint="eastAsia" w:ascii="宋体" w:hAnsi="宋体" w:eastAsia="宋体" w:cs="宋体"/>
          <w:spacing w:val="0"/>
          <w:sz w:val="24"/>
          <w:szCs w:val="24"/>
        </w:rPr>
        <w:t>2、依法免税的供应商</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★注意：</w:t>
      </w:r>
    </w:p>
    <w:p>
      <w:pPr>
        <w:pStyle w:val="4"/>
        <w:widowControl/>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2、供应商提供的税收凭据复印件应符合下列规定：</w:t>
      </w:r>
    </w:p>
    <w:p>
      <w:pPr>
        <w:pStyle w:val="4"/>
        <w:widowControl/>
        <w:spacing w:before="75" w:beforeAutospacing="0" w:after="75" w:afterAutospacing="0"/>
        <w:ind w:left="0" w:right="0" w:firstLine="0"/>
      </w:pPr>
      <w:r>
        <w:rPr>
          <w:rFonts w:hint="eastAsia" w:ascii="宋体" w:hAnsi="宋体" w:eastAsia="宋体" w:cs="宋体"/>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2.2首次响应文件递交截止时间的当月成立且已依法缴纳税收的供应商，提供截止时间当月的税收凭据复印件。</w:t>
      </w:r>
    </w:p>
    <w:p>
      <w:pPr>
        <w:pStyle w:val="4"/>
        <w:widowControl/>
        <w:spacing w:before="75" w:beforeAutospacing="0" w:after="75" w:afterAutospacing="0"/>
        <w:ind w:left="0" w:right="0" w:firstLine="0"/>
      </w:pPr>
      <w:r>
        <w:rPr>
          <w:rFonts w:hint="eastAsia" w:ascii="宋体" w:hAnsi="宋体" w:eastAsia="宋体" w:cs="宋体"/>
          <w:spacing w:val="0"/>
          <w:sz w:val="24"/>
          <w:szCs w:val="24"/>
        </w:rPr>
        <w:t>2.3首次响应文件递交截止时间的当月成立但因税务机关原因而尚未依法缴纳税收的供应商，提供依法缴纳税收承诺书原件（格式自拟），该承诺书视同税收凭据。</w:t>
      </w:r>
    </w:p>
    <w:p>
      <w:pPr>
        <w:pStyle w:val="4"/>
        <w:widowControl/>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widowControl/>
        <w:spacing w:before="75" w:beforeAutospacing="0" w:after="75" w:afterAutospacing="0"/>
        <w:ind w:left="0" w:right="0" w:firstLine="0"/>
      </w:pPr>
      <w:r>
        <w:rPr>
          <w:rFonts w:hint="eastAsia" w:ascii="宋体" w:hAnsi="宋体" w:eastAsia="宋体" w:cs="宋体"/>
          <w:spacing w:val="0"/>
          <w:sz w:val="24"/>
          <w:szCs w:val="24"/>
        </w:rPr>
        <w:t>4、</w:t>
      </w:r>
      <w:r>
        <w:rPr>
          <w:rStyle w:val="6"/>
          <w:rFonts w:hint="eastAsia" w:ascii="宋体" w:hAnsi="宋体" w:eastAsia="宋体" w:cs="宋体"/>
          <w:spacing w:val="0"/>
          <w:sz w:val="24"/>
          <w:szCs w:val="24"/>
        </w:rPr>
        <w:t>“依法缴纳税收证明材料”</w:t>
      </w:r>
      <w:r>
        <w:rPr>
          <w:rFonts w:hint="eastAsia" w:ascii="宋体" w:hAnsi="宋体" w:eastAsia="宋体" w:cs="宋体"/>
          <w:spacing w:val="0"/>
          <w:sz w:val="24"/>
          <w:szCs w:val="24"/>
        </w:rPr>
        <w:t>有欠缴记录的，视为</w:t>
      </w:r>
      <w:r>
        <w:rPr>
          <w:rStyle w:val="6"/>
          <w:rFonts w:hint="eastAsia" w:ascii="宋体" w:hAnsi="宋体" w:eastAsia="宋体" w:cs="宋体"/>
          <w:spacing w:val="0"/>
          <w:sz w:val="24"/>
          <w:szCs w:val="24"/>
        </w:rPr>
        <w:t>未依法缴纳税收</w:t>
      </w:r>
      <w:r>
        <w:rPr>
          <w:rFonts w:hint="eastAsia" w:ascii="宋体" w:hAnsi="宋体" w:eastAsia="宋体" w:cs="宋体"/>
          <w:spacing w:val="0"/>
          <w:sz w:val="24"/>
          <w:szCs w:val="24"/>
        </w:rPr>
        <w:t>。</w:t>
      </w:r>
    </w:p>
    <w:p>
      <w:pPr>
        <w:pStyle w:val="4"/>
        <w:widowControl/>
        <w:spacing w:before="75" w:beforeAutospacing="0" w:after="75" w:afterAutospacing="0" w:line="31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6"/>
          <w:rFonts w:hint="eastAsia" w:ascii="宋体" w:hAnsi="宋体" w:eastAsia="宋体" w:cs="宋体"/>
          <w:spacing w:val="0"/>
          <w:sz w:val="24"/>
          <w:szCs w:val="24"/>
        </w:rPr>
        <w:t>依法缴纳社会保障资金证明材料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ind w:left="0" w:right="0" w:firstLine="480"/>
      </w:pPr>
      <w:r>
        <w:rPr>
          <w:rStyle w:val="6"/>
          <w:rFonts w:hint="eastAsia" w:ascii="宋体" w:hAnsi="宋体" w:eastAsia="宋体" w:cs="宋体"/>
          <w:spacing w:val="0"/>
          <w:sz w:val="24"/>
          <w:szCs w:val="24"/>
        </w:rPr>
        <w:t>1、依法缴纳社会保障资金的供应商</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4"/>
        <w:widowControl/>
        <w:spacing w:before="75" w:beforeAutospacing="0" w:after="75" w:afterAutospacing="0"/>
        <w:ind w:left="0" w:right="0" w:firstLine="420"/>
      </w:pPr>
      <w:r>
        <w:rPr>
          <w:rFonts w:hint="eastAsia" w:ascii="宋体" w:hAnsi="宋体" w:eastAsia="宋体" w:cs="宋体"/>
          <w:spacing w:val="0"/>
          <w:sz w:val="24"/>
          <w:szCs w:val="24"/>
        </w:rPr>
        <w:t>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widowControl/>
        <w:spacing w:before="75" w:beforeAutospacing="0" w:after="75" w:afterAutospacing="0"/>
        <w:ind w:left="0" w:right="0" w:firstLine="480"/>
      </w:pPr>
      <w:r>
        <w:rPr>
          <w:rStyle w:val="6"/>
          <w:rFonts w:hint="eastAsia" w:ascii="宋体" w:hAnsi="宋体" w:eastAsia="宋体" w:cs="宋体"/>
          <w:spacing w:val="0"/>
          <w:sz w:val="24"/>
          <w:szCs w:val="24"/>
        </w:rPr>
        <w:t>2、依法不需要缴纳社会保障资金的供应商</w:t>
      </w:r>
    </w:p>
    <w:p>
      <w:pPr>
        <w:pStyle w:val="4"/>
        <w:widowControl/>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4"/>
        <w:widowControl/>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2、供应商提供的社会保险凭据复印件应符合下列规定：</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4"/>
        <w:widowControl/>
        <w:spacing w:before="0" w:beforeAutospacing="0" w:after="0" w:afterAutospacing="0" w:line="285" w:lineRule="atLeast"/>
        <w:ind w:left="0" w:right="0" w:firstLine="0"/>
      </w:pPr>
      <w:r>
        <w:rPr>
          <w:rFonts w:hint="eastAsia" w:ascii="宋体" w:hAnsi="宋体" w:eastAsia="宋体" w:cs="宋体"/>
          <w:color w:val="7030A0"/>
          <w:spacing w:val="0"/>
          <w:sz w:val="21"/>
          <w:szCs w:val="21"/>
        </w:rPr>
        <w:t>2.2</w:t>
      </w:r>
      <w:r>
        <w:rPr>
          <w:rFonts w:hint="eastAsia" w:ascii="宋体" w:hAnsi="宋体" w:eastAsia="宋体" w:cs="宋体"/>
          <w:spacing w:val="0"/>
          <w:sz w:val="21"/>
          <w:szCs w:val="21"/>
        </w:rPr>
        <w:t>首次响应文件递交截止时间的当月成立且已依法缴纳社会保障资金的供应商，提供首次响应文件递交截止时间当月的社会保险凭据复印件。</w:t>
      </w:r>
    </w:p>
    <w:p>
      <w:pPr>
        <w:pStyle w:val="4"/>
        <w:widowControl/>
        <w:spacing w:before="0" w:beforeAutospacing="0" w:after="0" w:afterAutospacing="0" w:line="285" w:lineRule="atLeast"/>
        <w:ind w:left="0" w:right="0" w:firstLine="0"/>
      </w:pPr>
      <w:r>
        <w:rPr>
          <w:rFonts w:hint="eastAsia" w:ascii="宋体" w:hAnsi="宋体" w:eastAsia="宋体" w:cs="宋体"/>
          <w:color w:val="7030A0"/>
          <w:spacing w:val="0"/>
          <w:sz w:val="21"/>
          <w:szCs w:val="21"/>
        </w:rPr>
        <w:t>2.3</w:t>
      </w:r>
      <w:r>
        <w:rPr>
          <w:rFonts w:hint="eastAsia" w:ascii="宋体" w:hAnsi="宋体" w:eastAsia="宋体" w:cs="宋体"/>
          <w:spacing w:val="0"/>
          <w:sz w:val="24"/>
          <w:szCs w:val="24"/>
        </w:rPr>
        <w:t>首次响应文件递交截止时间的当月成立但因税务机关</w:t>
      </w:r>
      <w:r>
        <w:rPr>
          <w:rFonts w:hint="eastAsia" w:ascii="宋体" w:hAnsi="宋体" w:eastAsia="宋体" w:cs="宋体"/>
          <w:spacing w:val="0"/>
          <w:sz w:val="21"/>
          <w:szCs w:val="21"/>
        </w:rPr>
        <w:t>/社会保障资金管理机关原因而尚未依法缴纳社会保障资金的</w:t>
      </w:r>
      <w:r>
        <w:rPr>
          <w:rFonts w:hint="eastAsia" w:ascii="宋体" w:hAnsi="宋体" w:eastAsia="宋体" w:cs="宋体"/>
          <w:spacing w:val="0"/>
          <w:sz w:val="24"/>
          <w:szCs w:val="24"/>
        </w:rPr>
        <w:t>供应商，提供依法缴纳社会保障资金承诺书原件（格式自拟），该承诺书视同社会保险凭据。</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4、“</w:t>
      </w:r>
      <w:r>
        <w:rPr>
          <w:rStyle w:val="6"/>
          <w:rFonts w:hint="eastAsia" w:ascii="宋体" w:hAnsi="宋体" w:eastAsia="宋体" w:cs="宋体"/>
          <w:spacing w:val="0"/>
          <w:sz w:val="24"/>
          <w:szCs w:val="24"/>
        </w:rPr>
        <w:t>依法缴纳社会保障资金证明材料</w:t>
      </w:r>
      <w:r>
        <w:rPr>
          <w:rFonts w:hint="eastAsia" w:ascii="宋体" w:hAnsi="宋体" w:eastAsia="宋体" w:cs="宋体"/>
          <w:spacing w:val="0"/>
          <w:sz w:val="24"/>
          <w:szCs w:val="24"/>
        </w:rPr>
        <w:t>”有欠缴记录的，视为</w:t>
      </w:r>
      <w:r>
        <w:rPr>
          <w:rStyle w:val="6"/>
          <w:rFonts w:hint="eastAsia" w:ascii="宋体" w:hAnsi="宋体" w:eastAsia="宋体" w:cs="宋体"/>
          <w:spacing w:val="0"/>
          <w:sz w:val="24"/>
          <w:szCs w:val="24"/>
        </w:rPr>
        <w:t>未依法缴纳社会保障资金</w:t>
      </w:r>
      <w:r>
        <w:rPr>
          <w:rFonts w:hint="eastAsia" w:ascii="宋体" w:hAnsi="宋体" w:eastAsia="宋体" w:cs="宋体"/>
          <w:spacing w:val="0"/>
          <w:sz w:val="24"/>
          <w:szCs w:val="24"/>
        </w:rPr>
        <w:t>。</w:t>
      </w:r>
    </w:p>
    <w:p>
      <w:pPr>
        <w:pStyle w:val="4"/>
        <w:widowControl/>
        <w:spacing w:before="75" w:beforeAutospacing="0" w:after="75" w:afterAutospacing="0" w:line="28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0" w:beforeAutospacing="0" w:after="0" w:afterAutospacing="0" w:line="28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6"/>
          <w:rFonts w:hint="eastAsia" w:ascii="宋体" w:hAnsi="宋体" w:eastAsia="宋体" w:cs="宋体"/>
          <w:spacing w:val="0"/>
          <w:sz w:val="24"/>
          <w:szCs w:val="24"/>
        </w:rPr>
        <w:t>具备履行合同所必需设备和专业技术能力证明材料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声明函</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widowControl/>
        <w:spacing w:before="75" w:beforeAutospacing="0" w:after="75" w:afterAutospacing="0" w:line="435" w:lineRule="atLeast"/>
        <w:ind w:left="0" w:right="0" w:firstLine="480"/>
      </w:pPr>
      <w:r>
        <w:rPr>
          <w:rStyle w:val="6"/>
          <w:rFonts w:hint="eastAsia" w:ascii="宋体" w:hAnsi="宋体" w:eastAsia="宋体" w:cs="宋体"/>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4"/>
        <w:widowControl/>
        <w:spacing w:before="75" w:beforeAutospacing="0" w:after="75" w:afterAutospacing="0" w:line="435" w:lineRule="atLeast"/>
        <w:ind w:left="0" w:right="0" w:firstLine="480"/>
      </w:pPr>
      <w:r>
        <w:rPr>
          <w:rStyle w:val="6"/>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4"/>
        <w:widowControl/>
        <w:spacing w:before="75" w:beforeAutospacing="0" w:after="75" w:afterAutospacing="0" w:line="435" w:lineRule="atLeast"/>
        <w:ind w:left="0" w:right="0" w:firstLine="0"/>
        <w:jc w:val="both"/>
      </w:pPr>
      <w:r>
        <w:rPr>
          <w:rStyle w:val="6"/>
          <w:rFonts w:hint="eastAsia" w:ascii="宋体" w:hAnsi="宋体" w:eastAsia="宋体" w:cs="宋体"/>
          <w:spacing w:val="0"/>
          <w:sz w:val="24"/>
          <w:szCs w:val="24"/>
        </w:rPr>
        <w:t>  3.对于接受联合体形式的磋商且供应商是联合体的，则联合体各成员都应当提交本资格证明文件。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6"/>
          <w:rFonts w:hint="eastAsia" w:ascii="宋体" w:hAnsi="宋体" w:eastAsia="宋体" w:cs="宋体"/>
          <w:spacing w:val="0"/>
          <w:sz w:val="24"/>
          <w:szCs w:val="24"/>
        </w:rPr>
        <w:t>参加采购活动前三年内在经营活动中</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1935"/>
      </w:pPr>
      <w:r>
        <w:rPr>
          <w:rStyle w:val="6"/>
          <w:rFonts w:hint="eastAsia" w:ascii="宋体" w:hAnsi="宋体" w:eastAsia="宋体" w:cs="宋体"/>
          <w:spacing w:val="0"/>
          <w:sz w:val="24"/>
          <w:szCs w:val="24"/>
        </w:rPr>
        <w:t>没有重大违法记录书面声明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3、对于接受联合体形式的磋商且供应商是联合体的，则联合体各成员都应当提交本资格证明文件。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附件3-10       </w:t>
      </w:r>
      <w:r>
        <w:rPr>
          <w:rStyle w:val="6"/>
          <w:rFonts w:hint="eastAsia" w:ascii="宋体" w:hAnsi="宋体" w:eastAsia="宋体" w:cs="宋体"/>
          <w:spacing w:val="0"/>
          <w:sz w:val="24"/>
          <w:szCs w:val="24"/>
        </w:rPr>
        <w:t>信用记录查询结果</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现附上截至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时我方通过“信用中国”网站（www.creditchina.gov.cn）获取的我方信用信息查询结果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份、通过中国政府采购网（www.ccgp.gov.cn）获取的我方信用信息查询结果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份，上述信用信息查询结果真实有效，否则我方负全部责任。</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供应商应</w:t>
      </w:r>
      <w:r>
        <w:rPr>
          <w:rStyle w:val="6"/>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在磋商文件要求的首次响应文件递交截止时点前通过上述2个网站获取的信用信息查询结果，信用信息查询结果应为从上述网站获取的查询结果原始页面的打印件或完整截图，</w:t>
      </w:r>
      <w:r>
        <w:rPr>
          <w:rStyle w:val="6"/>
          <w:rFonts w:hint="eastAsia" w:ascii="宋体" w:hAnsi="宋体" w:eastAsia="宋体" w:cs="宋体"/>
          <w:spacing w:val="0"/>
          <w:sz w:val="24"/>
          <w:szCs w:val="24"/>
        </w:rPr>
        <w:t>否则其响应文件将被否决。</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2、若本项目接受联合体响应磋商且供应商为联合体，则联合体各成员均应</w:t>
      </w:r>
      <w:r>
        <w:rPr>
          <w:rStyle w:val="6"/>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3、联合体成员存在不良信用记录的，视同联合体存在不良信用记录，</w:t>
      </w:r>
      <w:r>
        <w:rPr>
          <w:rStyle w:val="6"/>
          <w:rFonts w:hint="eastAsia" w:ascii="宋体" w:hAnsi="宋体" w:eastAsia="宋体" w:cs="宋体"/>
          <w:spacing w:val="0"/>
          <w:sz w:val="24"/>
          <w:szCs w:val="24"/>
        </w:rPr>
        <w:t>其响应文件将被否决。</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t>※除上述规定外，信用记录的其他有关规定（包括但不限于：信用信息的查询渠道及截止时点、查询记录和证据留存的具体方式、使用规则等内容）详见磋商文件第一章。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spacing w:val="0"/>
          <w:sz w:val="24"/>
          <w:szCs w:val="24"/>
        </w:rPr>
        <w:t> </w:t>
      </w:r>
    </w:p>
    <w:p>
      <w:pPr>
        <w:pStyle w:val="4"/>
        <w:widowControl/>
        <w:spacing w:before="75" w:beforeAutospacing="0" w:after="75" w:afterAutospacing="0" w:line="435" w:lineRule="atLeast"/>
        <w:ind w:left="0" w:right="0" w:firstLine="0"/>
      </w:pPr>
      <w:r>
        <w:rPr>
          <w:rStyle w:val="6"/>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附件3-11   </w:t>
      </w:r>
      <w:r>
        <w:rPr>
          <w:rStyle w:val="6"/>
          <w:rFonts w:hint="eastAsia" w:ascii="宋体" w:hAnsi="宋体" w:eastAsia="宋体" w:cs="宋体"/>
          <w:spacing w:val="0"/>
          <w:sz w:val="24"/>
          <w:szCs w:val="24"/>
        </w:rPr>
        <w:t>检察机关行贿犯罪档案查询结果告知函（如果需要）</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1.检察机关行贿犯罪档案查询结果告知函（以下简称：“告知函”）由报价人向住所地或业务发生地检察院申请查询，具体以检察院出具的为准。</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2.采购人在磋商文件中约定是否需要提供“告知函”。</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★磋商文件有要求提交“告知函”时注意：</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1、报价人未提供行贿犯罪档案查询结果或查询结果有行贿犯罪记录的，</w:t>
      </w:r>
      <w:r>
        <w:rPr>
          <w:rStyle w:val="6"/>
          <w:rFonts w:hint="eastAsia" w:ascii="宋体" w:hAnsi="宋体" w:eastAsia="宋体" w:cs="宋体"/>
          <w:spacing w:val="0"/>
          <w:sz w:val="24"/>
          <w:szCs w:val="24"/>
        </w:rPr>
        <w:t>则报价人的响应文件将被否决</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6"/>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6"/>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4、若告知函未注明“复印件无效”，报价人可提供原件或复印件。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5、对于接受联合体形式的磋商且报价人是联合体的，则联合体各成员都应当提交本资格证明文件。</w:t>
      </w:r>
    </w:p>
    <w:p>
      <w:pPr>
        <w:pStyle w:val="4"/>
        <w:widowControl/>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6"/>
          <w:rFonts w:hint="eastAsia" w:ascii="宋体" w:hAnsi="宋体" w:eastAsia="宋体" w:cs="宋体"/>
          <w:spacing w:val="0"/>
          <w:sz w:val="24"/>
          <w:szCs w:val="24"/>
        </w:rPr>
        <w:t>  联合体协议</w:t>
      </w:r>
    </w:p>
    <w:p>
      <w:pPr>
        <w:pStyle w:val="4"/>
        <w:widowControl/>
        <w:spacing w:before="75" w:beforeAutospacing="0" w:after="75" w:afterAutospacing="0" w:line="435" w:lineRule="atLeast"/>
        <w:ind w:left="0" w:right="0" w:firstLine="0"/>
        <w:jc w:val="center"/>
      </w:pPr>
      <w:r>
        <w:rPr>
          <w:rStyle w:val="6"/>
          <w:rFonts w:hint="eastAsia" w:ascii="宋体" w:hAnsi="宋体" w:eastAsia="宋体" w:cs="宋体"/>
          <w:spacing w:val="0"/>
          <w:sz w:val="24"/>
          <w:szCs w:val="24"/>
        </w:rPr>
        <w:t>（接受联合体的项目使用）</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兹有（</w:t>
      </w:r>
      <w:r>
        <w:rPr>
          <w:rFonts w:hint="eastAsia" w:ascii="宋体" w:hAnsi="宋体" w:eastAsia="宋体" w:cs="宋体"/>
          <w:spacing w:val="0"/>
          <w:sz w:val="24"/>
          <w:szCs w:val="24"/>
          <w:u w:val="single"/>
        </w:rPr>
        <w:t>填写“联合体中各方的全称”，各方的全称之间请用“、”分割</w:t>
      </w:r>
      <w:r>
        <w:rPr>
          <w:rFonts w:hint="eastAsia" w:ascii="宋体" w:hAnsi="宋体" w:eastAsia="宋体" w:cs="宋体"/>
          <w:spacing w:val="0"/>
          <w:sz w:val="24"/>
          <w:szCs w:val="24"/>
        </w:rPr>
        <w:t>）自愿组成联合体，共同参加（填写</w:t>
      </w:r>
      <w:r>
        <w:rPr>
          <w:rFonts w:hint="eastAsia" w:ascii="宋体" w:hAnsi="宋体" w:eastAsia="宋体" w:cs="宋体"/>
          <w:spacing w:val="0"/>
          <w:sz w:val="24"/>
          <w:szCs w:val="24"/>
          <w:u w:val="single"/>
        </w:rPr>
        <w:t>         “项目名称”           </w:t>
      </w:r>
      <w:r>
        <w:rPr>
          <w:rFonts w:hint="eastAsia" w:ascii="宋体" w:hAnsi="宋体" w:eastAsia="宋体" w:cs="宋体"/>
          <w:spacing w:val="0"/>
          <w:sz w:val="24"/>
          <w:szCs w:val="24"/>
        </w:rPr>
        <w:t>） 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）的响应磋商。现就联合体参加本项目响应磋商的有关事宜达成下列协议：</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4"/>
        <w:widowControl/>
        <w:spacing w:before="75" w:beforeAutospacing="0" w:after="75" w:afterAutospacing="0" w:line="435" w:lineRule="atLeast"/>
        <w:ind w:left="0" w:right="0" w:firstLine="480"/>
        <w:jc w:val="both"/>
      </w:pPr>
      <w:r>
        <w:rPr>
          <w:rFonts w:hint="eastAsia" w:ascii="宋体" w:hAnsi="宋体" w:eastAsia="宋体" w:cs="宋体"/>
          <w:spacing w:val="0"/>
          <w:sz w:val="24"/>
          <w:szCs w:val="24"/>
        </w:rPr>
        <w:t>2.1（成员一的全称）：</w:t>
      </w: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）代表联合体办理磋商保证金事宜。</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w:t>
      </w:r>
      <w:r>
        <w:rPr>
          <w:rFonts w:hint="eastAsia" w:ascii="宋体" w:hAnsi="宋体" w:eastAsia="宋体" w:cs="宋体"/>
          <w:spacing w:val="0"/>
          <w:sz w:val="24"/>
          <w:szCs w:val="24"/>
          <w:u w:val="single"/>
        </w:rPr>
        <w:t>（全称并加盖单位公章）</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w:t>
      </w:r>
      <w:r>
        <w:rPr>
          <w:rFonts w:hint="eastAsia" w:ascii="宋体" w:hAnsi="宋体" w:eastAsia="宋体" w:cs="宋体"/>
          <w:spacing w:val="0"/>
          <w:sz w:val="24"/>
          <w:szCs w:val="24"/>
          <w:u w:val="single"/>
        </w:rPr>
        <w:t>（全称并加盖成员一的单位公章）</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成员**：</w:t>
      </w:r>
      <w:r>
        <w:rPr>
          <w:rFonts w:hint="eastAsia" w:ascii="宋体" w:hAnsi="宋体" w:eastAsia="宋体" w:cs="宋体"/>
          <w:spacing w:val="0"/>
          <w:sz w:val="24"/>
          <w:szCs w:val="24"/>
          <w:u w:val="single"/>
        </w:rPr>
        <w:t>（全称并加盖成员**的单位公章）</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4"/>
        <w:widowControl/>
        <w:spacing w:before="75" w:beforeAutospacing="0" w:after="75" w:afterAutospacing="0"/>
        <w:ind w:left="0" w:right="0" w:firstLine="0"/>
      </w:pPr>
      <w:r>
        <w:rPr>
          <w:rFonts w:hint="eastAsia" w:ascii="宋体" w:hAnsi="宋体" w:eastAsia="宋体" w:cs="宋体"/>
          <w:spacing w:val="0"/>
          <w:sz w:val="24"/>
          <w:szCs w:val="24"/>
        </w:rPr>
        <w:t>1、若磋商文件规定接受联合体形式且供应商为联合体的，则供应商应提供本协议；否则无须提供。</w:t>
      </w:r>
    </w:p>
    <w:p>
      <w:pPr>
        <w:pStyle w:val="4"/>
        <w:widowControl/>
        <w:spacing w:before="75" w:beforeAutospacing="0" w:after="75" w:afterAutospacing="0"/>
        <w:ind w:left="0" w:right="0" w:firstLine="0"/>
      </w:pPr>
      <w:r>
        <w:rPr>
          <w:rFonts w:hint="eastAsia" w:ascii="宋体" w:hAnsi="宋体" w:eastAsia="宋体" w:cs="宋体"/>
          <w:spacing w:val="0"/>
          <w:sz w:val="24"/>
          <w:szCs w:val="24"/>
        </w:rPr>
        <w:t>2、本协议中的供应商代表如果不是竞争性磋商须知中定义的“单位负责人”，则还必须提供“单位负责人授权书”。</w:t>
      </w:r>
    </w:p>
    <w:p>
      <w:pPr>
        <w:pStyle w:val="4"/>
        <w:widowControl/>
        <w:spacing w:before="75" w:beforeAutospacing="0" w:after="75" w:afterAutospacing="0"/>
        <w:ind w:left="0" w:right="0" w:firstLine="0"/>
      </w:pPr>
      <w:r>
        <w:rPr>
          <w:rFonts w:hint="eastAsia" w:ascii="宋体" w:hAnsi="宋体" w:eastAsia="宋体" w:cs="宋体"/>
          <w:spacing w:val="0"/>
          <w:sz w:val="24"/>
          <w:szCs w:val="24"/>
        </w:rPr>
        <w:t>3、若磋商文件规定接受联合体形式且供应商为联合体的，纸质响应文件正本中的本协议应为原件。</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r>
        <w:rPr>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6"/>
          <w:rFonts w:hint="eastAsia" w:ascii="宋体" w:hAnsi="宋体" w:eastAsia="宋体" w:cs="宋体"/>
          <w:spacing w:val="0"/>
          <w:sz w:val="24"/>
          <w:szCs w:val="24"/>
        </w:rPr>
        <w:t>其它资格证明文件</w:t>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br w:type="textWrapping"/>
      </w:r>
      <w:r>
        <w:rPr>
          <w:rStyle w:val="6"/>
          <w:rFonts w:hint="eastAsia" w:ascii="宋体" w:hAnsi="宋体" w:eastAsia="宋体" w:cs="宋体"/>
          <w:spacing w:val="0"/>
          <w:sz w:val="24"/>
          <w:szCs w:val="24"/>
        </w:rPr>
        <w:t>                   （如果有的话）</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2、若磋商文件规定接受联合体形式且供应商为联合体的，涉及联合体成员的其它资格证明文件在此处提供相关证明材料，并加盖供应商单位公章。</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80"/>
      </w:pPr>
      <w:r>
        <w:rPr>
          <w:rStyle w:val="6"/>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附件4        </w:t>
      </w:r>
      <w:r>
        <w:rPr>
          <w:rStyle w:val="6"/>
          <w:rFonts w:hint="eastAsia" w:ascii="宋体" w:hAnsi="宋体" w:eastAsia="宋体" w:cs="宋体"/>
          <w:spacing w:val="0"/>
          <w:sz w:val="24"/>
          <w:szCs w:val="24"/>
        </w:rPr>
        <w:t>磋商保证金凭证</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3360"/>
        <w:jc w:val="both"/>
      </w:pPr>
      <w:r>
        <w:rPr>
          <w:rFonts w:hint="eastAsia" w:ascii="宋体" w:hAnsi="宋体" w:eastAsia="宋体" w:cs="宋体"/>
          <w:spacing w:val="0"/>
          <w:sz w:val="24"/>
          <w:szCs w:val="24"/>
        </w:rPr>
        <w:t>编制说明</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在此项下提交的“</w:t>
      </w:r>
      <w:r>
        <w:rPr>
          <w:rStyle w:val="6"/>
          <w:rFonts w:hint="eastAsia" w:ascii="宋体" w:hAnsi="宋体" w:eastAsia="宋体" w:cs="宋体"/>
          <w:spacing w:val="0"/>
          <w:sz w:val="24"/>
          <w:szCs w:val="24"/>
        </w:rPr>
        <w:t>磋商保证金</w:t>
      </w:r>
      <w:r>
        <w:rPr>
          <w:rFonts w:hint="eastAsia" w:ascii="宋体" w:hAnsi="宋体" w:eastAsia="宋体" w:cs="宋体"/>
          <w:spacing w:val="0"/>
          <w:sz w:val="24"/>
          <w:szCs w:val="24"/>
        </w:rPr>
        <w:t>”材料可使用转账凭证复印件或从福建省政府采购网上公开信息系统中下载的有关原始页面的打印件。</w:t>
      </w:r>
    </w:p>
    <w:p>
      <w:pPr>
        <w:pStyle w:val="4"/>
        <w:widowControl/>
        <w:spacing w:before="75" w:beforeAutospacing="0" w:after="240" w:afterAutospacing="0"/>
        <w:ind w:left="0" w:right="0" w:firstLine="0"/>
      </w:pPr>
      <w:r>
        <w:rPr>
          <w:rFonts w:hint="eastAsia" w:ascii="宋体" w:hAnsi="宋体" w:eastAsia="宋体" w:cs="宋体"/>
          <w:spacing w:val="0"/>
          <w:sz w:val="24"/>
          <w:szCs w:val="24"/>
        </w:rPr>
        <w:t>2、磋商保证金是否已提交按照磋商文件规定执行。</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spacing w:val="0"/>
          <w:sz w:val="24"/>
          <w:szCs w:val="24"/>
        </w:rPr>
        <w:t> </w:t>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附件5-1  </w:t>
      </w:r>
      <w:r>
        <w:rPr>
          <w:rStyle w:val="6"/>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8"/>
        <w:tblW w:w="7782"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4"/>
        <w:gridCol w:w="1396"/>
        <w:gridCol w:w="2311"/>
        <w:gridCol w:w="208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79"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66"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281"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竞争性磋商文件规定的技术和服务要求</w:t>
            </w:r>
          </w:p>
        </w:tc>
        <w:tc>
          <w:tcPr>
            <w:tcW w:w="2052"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2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bl>
    <w:p>
      <w:pPr>
        <w:pStyle w:val="4"/>
        <w:widowControl/>
        <w:spacing w:before="75" w:beforeAutospacing="0" w:after="75" w:afterAutospacing="0" w:line="375" w:lineRule="atLeast"/>
        <w:ind w:left="0" w:right="0" w:firstLine="0"/>
      </w:pPr>
      <w:r>
        <w:rPr>
          <w:rStyle w:val="6"/>
          <w:rFonts w:hint="eastAsia" w:ascii="宋体" w:hAnsi="宋体" w:eastAsia="宋体" w:cs="宋体"/>
          <w:spacing w:val="0"/>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widowControl/>
        <w:spacing w:before="75" w:beforeAutospacing="0" w:after="75" w:afterAutospacing="0" w:line="375" w:lineRule="atLeast"/>
        <w:ind w:left="0" w:right="0" w:firstLine="0"/>
      </w:pPr>
      <w:r>
        <w:rPr>
          <w:rStyle w:val="6"/>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4"/>
        <w:widowControl/>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6"/>
          <w:rFonts w:hint="eastAsia" w:ascii="宋体" w:hAnsi="宋体" w:eastAsia="宋体" w:cs="宋体"/>
          <w:spacing w:val="0"/>
          <w:sz w:val="24"/>
          <w:szCs w:val="24"/>
        </w:rPr>
        <w:t> 商务条件和其它事项响应表</w:t>
      </w:r>
      <w:r>
        <w:rPr>
          <w:rStyle w:val="6"/>
          <w:rFonts w:hint="eastAsia" w:ascii="宋体" w:hAnsi="宋体" w:eastAsia="宋体" w:cs="宋体"/>
          <w:color w:val="1B2FCB"/>
          <w:spacing w:val="0"/>
          <w:sz w:val="24"/>
          <w:szCs w:val="24"/>
        </w:rPr>
        <w:t> </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8"/>
        <w:tblW w:w="7782"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4"/>
        <w:gridCol w:w="1396"/>
        <w:gridCol w:w="2311"/>
        <w:gridCol w:w="208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79"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366"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281"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竞争性磋商文件规定的商务条件要求</w:t>
            </w:r>
          </w:p>
        </w:tc>
        <w:tc>
          <w:tcPr>
            <w:tcW w:w="2052"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24" w:type="dxa"/>
            <w:tcMar>
              <w:top w:w="0" w:type="dxa"/>
              <w:left w:w="105" w:type="dxa"/>
              <w:bottom w:w="0" w:type="dxa"/>
              <w:right w:w="105" w:type="dxa"/>
            </w:tcMar>
            <w:vAlign w:val="center"/>
          </w:tcPr>
          <w:p>
            <w:pPr>
              <w:pStyle w:val="4"/>
              <w:widowControl/>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79" w:type="dxa"/>
            <w:tcMar>
              <w:top w:w="0" w:type="dxa"/>
              <w:left w:w="105" w:type="dxa"/>
              <w:bottom w:w="0" w:type="dxa"/>
              <w:right w:w="105" w:type="dxa"/>
            </w:tcMar>
            <w:vAlign w:val="center"/>
          </w:tcPr>
          <w:p>
            <w:pPr>
              <w:widowControl/>
              <w:jc w:val="left"/>
            </w:pPr>
          </w:p>
        </w:tc>
        <w:tc>
          <w:tcPr>
            <w:tcW w:w="1366" w:type="dxa"/>
            <w:tcMar>
              <w:top w:w="0" w:type="dxa"/>
              <w:left w:w="105" w:type="dxa"/>
              <w:bottom w:w="0" w:type="dxa"/>
              <w:right w:w="105" w:type="dxa"/>
            </w:tcMar>
            <w:vAlign w:val="center"/>
          </w:tcPr>
          <w:p>
            <w:pPr>
              <w:widowControl/>
              <w:jc w:val="left"/>
            </w:pPr>
          </w:p>
        </w:tc>
        <w:tc>
          <w:tcPr>
            <w:tcW w:w="2281" w:type="dxa"/>
            <w:tcMar>
              <w:top w:w="0" w:type="dxa"/>
              <w:left w:w="105" w:type="dxa"/>
              <w:bottom w:w="0" w:type="dxa"/>
              <w:right w:w="105" w:type="dxa"/>
            </w:tcMar>
            <w:vAlign w:val="center"/>
          </w:tcPr>
          <w:p>
            <w:pPr>
              <w:widowControl/>
              <w:jc w:val="left"/>
            </w:pPr>
          </w:p>
        </w:tc>
        <w:tc>
          <w:tcPr>
            <w:tcW w:w="2052" w:type="dxa"/>
            <w:tcMar>
              <w:top w:w="0" w:type="dxa"/>
              <w:left w:w="105" w:type="dxa"/>
              <w:bottom w:w="0" w:type="dxa"/>
              <w:right w:w="105" w:type="dxa"/>
            </w:tcMar>
            <w:vAlign w:val="center"/>
          </w:tcPr>
          <w:p>
            <w:pPr>
              <w:widowControl/>
              <w:jc w:val="left"/>
            </w:pPr>
          </w:p>
        </w:tc>
        <w:tc>
          <w:tcPr>
            <w:tcW w:w="1224" w:type="dxa"/>
            <w:tcMar>
              <w:top w:w="0" w:type="dxa"/>
              <w:left w:w="105" w:type="dxa"/>
              <w:bottom w:w="0" w:type="dxa"/>
              <w:right w:w="105" w:type="dxa"/>
            </w:tcMar>
            <w:vAlign w:val="center"/>
          </w:tcPr>
          <w:p>
            <w:pPr>
              <w:widowControl/>
              <w:jc w:val="left"/>
            </w:pPr>
          </w:p>
        </w:tc>
      </w:tr>
    </w:tbl>
    <w:p>
      <w:pPr>
        <w:pStyle w:val="4"/>
        <w:widowControl/>
        <w:spacing w:before="75" w:beforeAutospacing="0" w:after="75" w:afterAutospacing="0" w:line="375" w:lineRule="atLeast"/>
        <w:ind w:left="0" w:right="0" w:firstLine="0"/>
      </w:pPr>
      <w:r>
        <w:rPr>
          <w:rStyle w:val="6"/>
          <w:rFonts w:hint="eastAsia" w:ascii="宋体" w:hAnsi="宋体" w:eastAsia="宋体" w:cs="宋体"/>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widowControl/>
        <w:spacing w:before="75" w:beforeAutospacing="0" w:after="75" w:afterAutospacing="0" w:line="375" w:lineRule="atLeast"/>
        <w:ind w:left="0" w:right="0" w:firstLine="0"/>
      </w:pPr>
      <w:r>
        <w:rPr>
          <w:rStyle w:val="6"/>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widowControl/>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6"/>
          <w:rFonts w:hint="eastAsia" w:ascii="宋体" w:hAnsi="宋体" w:eastAsia="宋体" w:cs="宋体"/>
          <w:spacing w:val="0"/>
          <w:sz w:val="24"/>
          <w:szCs w:val="24"/>
        </w:rPr>
        <w:t>  相关技术、商务、服务响应承诺及资料</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说明：    </w:t>
      </w:r>
    </w:p>
    <w:p>
      <w:pPr>
        <w:pStyle w:val="4"/>
        <w:widowControl/>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4"/>
        <w:widowControl/>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2.如果没有特别要求的，供应商根据磋商文件的要求以及特点，提供相关技术、商务、服务响应承诺及资料，格式自拟。</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95" w:lineRule="atLeast"/>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65" w:lineRule="atLeast"/>
        <w:ind w:left="0" w:right="0" w:firstLine="0"/>
      </w:pPr>
      <w:r>
        <w:rPr>
          <w:spacing w:val="0"/>
          <w:sz w:val="24"/>
          <w:szCs w:val="24"/>
        </w:rPr>
        <w:t> </w:t>
      </w:r>
    </w:p>
    <w:p>
      <w:pPr>
        <w:pStyle w:val="4"/>
        <w:widowControl/>
        <w:spacing w:before="75" w:beforeAutospacing="0" w:after="75" w:afterAutospacing="0" w:line="46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line="46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6"/>
          <w:rFonts w:hint="eastAsia" w:ascii="宋体" w:hAnsi="宋体" w:eastAsia="宋体" w:cs="宋体"/>
          <w:spacing w:val="0"/>
          <w:sz w:val="24"/>
          <w:szCs w:val="24"/>
        </w:rPr>
        <w:t>供应商提交符合政府采购政策的证明材料</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附件7-1-1        </w:t>
      </w:r>
      <w:r>
        <w:rPr>
          <w:rStyle w:val="6"/>
          <w:rFonts w:hint="eastAsia" w:ascii="宋体" w:hAnsi="宋体" w:eastAsia="宋体" w:cs="宋体"/>
          <w:spacing w:val="0"/>
          <w:sz w:val="24"/>
          <w:szCs w:val="24"/>
        </w:rPr>
        <w:t>中小企业声明函（如果有的话）</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315" w:lineRule="atLeast"/>
        <w:ind w:left="0" w:right="0" w:firstLine="480"/>
        <w:jc w:val="both"/>
      </w:pPr>
      <w:r>
        <w:rPr>
          <w:rFonts w:hint="eastAsia" w:ascii="宋体" w:hAnsi="宋体" w:eastAsia="宋体" w:cs="宋体"/>
          <w:spacing w:val="0"/>
          <w:sz w:val="24"/>
          <w:szCs w:val="24"/>
        </w:rPr>
        <w:t>本公司郑重声明，根据《政府采购促进中小企业发展暂行办法》（财库〔2011〕181号）的规定，本公司为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（请填写：中型、小型、微型）企业。即，本公司同时满足以下条件：</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　　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　　2.本公司参加</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单位的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项目采购活动提供本企业制造的货物，由本企业承担工程、提供服务，或者提供其他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（请填写：中型、小型、微型）企业制造的货物。本条所称货物不包括使用大型企业注册商标的货物。</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　　本公司对上述声明的真实性负责。如有虚假，将依法承担相应责任。</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31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注：需另附下表</w:t>
      </w:r>
    </w:p>
    <w:tbl>
      <w:tblPr>
        <w:tblStyle w:val="8"/>
        <w:tblW w:w="9372"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64"/>
        <w:gridCol w:w="756"/>
        <w:gridCol w:w="757"/>
        <w:gridCol w:w="757"/>
        <w:gridCol w:w="757"/>
        <w:gridCol w:w="757"/>
        <w:gridCol w:w="116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CellSpacing w:w="15" w:type="dxa"/>
        </w:trPr>
        <w:tc>
          <w:tcPr>
            <w:tcW w:w="1119" w:type="dxa"/>
            <w:tcMar>
              <w:top w:w="0" w:type="dxa"/>
              <w:left w:w="105" w:type="dxa"/>
              <w:bottom w:w="0" w:type="dxa"/>
              <w:right w:w="105" w:type="dxa"/>
            </w:tcMar>
            <w:vAlign w:val="center"/>
          </w:tcPr>
          <w:p>
            <w:pPr>
              <w:pStyle w:val="4"/>
              <w:widowControl/>
              <w:spacing w:before="0" w:beforeAutospacing="0" w:after="0" w:afterAutospacing="0" w:line="315" w:lineRule="atLeast"/>
              <w:ind w:left="0" w:right="0"/>
              <w:jc w:val="center"/>
            </w:pPr>
            <w:r>
              <w:rPr>
                <w:rFonts w:hint="eastAsia" w:ascii="宋体" w:hAnsi="宋体" w:eastAsia="宋体" w:cs="宋体"/>
                <w:spacing w:val="0"/>
                <w:sz w:val="24"/>
                <w:szCs w:val="24"/>
              </w:rPr>
              <w:t>合同包/品目号</w:t>
            </w:r>
          </w:p>
        </w:tc>
        <w:tc>
          <w:tcPr>
            <w:tcW w:w="726" w:type="dxa"/>
            <w:tcMar>
              <w:top w:w="0" w:type="dxa"/>
              <w:left w:w="105" w:type="dxa"/>
              <w:bottom w:w="0" w:type="dxa"/>
              <w:right w:w="105" w:type="dxa"/>
            </w:tcMar>
            <w:vAlign w:val="center"/>
          </w:tcPr>
          <w:p>
            <w:pPr>
              <w:pStyle w:val="4"/>
              <w:widowControl/>
              <w:spacing w:before="0" w:beforeAutospacing="0" w:after="0" w:afterAutospacing="0" w:line="315" w:lineRule="atLeast"/>
              <w:ind w:left="0" w:right="0"/>
              <w:jc w:val="center"/>
            </w:pPr>
            <w:r>
              <w:rPr>
                <w:rFonts w:hint="eastAsia" w:ascii="宋体" w:hAnsi="宋体" w:eastAsia="宋体" w:cs="宋体"/>
                <w:spacing w:val="0"/>
                <w:sz w:val="24"/>
                <w:szCs w:val="24"/>
              </w:rPr>
              <w:t>响应产品名称</w:t>
            </w:r>
          </w:p>
        </w:tc>
        <w:tc>
          <w:tcPr>
            <w:tcW w:w="727" w:type="dxa"/>
            <w:tcMar>
              <w:top w:w="0" w:type="dxa"/>
              <w:left w:w="105" w:type="dxa"/>
              <w:bottom w:w="0" w:type="dxa"/>
              <w:right w:w="105" w:type="dxa"/>
            </w:tcMar>
            <w:vAlign w:val="center"/>
          </w:tcPr>
          <w:p>
            <w:pPr>
              <w:pStyle w:val="4"/>
              <w:widowControl/>
              <w:spacing w:before="0" w:beforeAutospacing="0" w:after="0" w:afterAutospacing="0" w:line="315" w:lineRule="atLeast"/>
              <w:ind w:left="15" w:right="0"/>
              <w:jc w:val="center"/>
            </w:pPr>
            <w:r>
              <w:rPr>
                <w:rFonts w:hint="eastAsia" w:ascii="宋体" w:hAnsi="宋体" w:eastAsia="宋体" w:cs="宋体"/>
                <w:spacing w:val="0"/>
                <w:sz w:val="24"/>
                <w:szCs w:val="24"/>
              </w:rPr>
              <w:t>品牌型号</w:t>
            </w:r>
          </w:p>
        </w:tc>
        <w:tc>
          <w:tcPr>
            <w:tcW w:w="727" w:type="dxa"/>
            <w:tcMar>
              <w:top w:w="0" w:type="dxa"/>
              <w:left w:w="105" w:type="dxa"/>
              <w:bottom w:w="0" w:type="dxa"/>
              <w:right w:w="105" w:type="dxa"/>
            </w:tcMar>
            <w:vAlign w:val="center"/>
          </w:tcPr>
          <w:p>
            <w:pPr>
              <w:pStyle w:val="4"/>
              <w:widowControl/>
              <w:spacing w:before="0" w:beforeAutospacing="0" w:after="0" w:afterAutospacing="0" w:line="315" w:lineRule="atLeast"/>
              <w:ind w:left="15" w:right="0"/>
              <w:jc w:val="center"/>
            </w:pPr>
            <w:r>
              <w:rPr>
                <w:rFonts w:hint="eastAsia" w:ascii="宋体" w:hAnsi="宋体" w:eastAsia="宋体" w:cs="宋体"/>
                <w:spacing w:val="0"/>
                <w:sz w:val="24"/>
                <w:szCs w:val="24"/>
              </w:rPr>
              <w:t>数量</w:t>
            </w:r>
          </w:p>
        </w:tc>
        <w:tc>
          <w:tcPr>
            <w:tcW w:w="727" w:type="dxa"/>
            <w:tcMar>
              <w:top w:w="0" w:type="dxa"/>
              <w:left w:w="105" w:type="dxa"/>
              <w:bottom w:w="0" w:type="dxa"/>
              <w:right w:w="105" w:type="dxa"/>
            </w:tcMar>
            <w:vAlign w:val="center"/>
          </w:tcPr>
          <w:p>
            <w:pPr>
              <w:pStyle w:val="4"/>
              <w:widowControl/>
              <w:spacing w:before="0" w:beforeAutospacing="0" w:after="0" w:afterAutospacing="0" w:line="315" w:lineRule="atLeast"/>
              <w:ind w:left="15" w:right="0"/>
              <w:jc w:val="center"/>
            </w:pPr>
            <w:r>
              <w:rPr>
                <w:rFonts w:hint="eastAsia" w:ascii="宋体" w:hAnsi="宋体" w:eastAsia="宋体" w:cs="宋体"/>
                <w:spacing w:val="0"/>
                <w:sz w:val="24"/>
                <w:szCs w:val="24"/>
              </w:rPr>
              <w:t>最后报价单价</w:t>
            </w:r>
          </w:p>
        </w:tc>
        <w:tc>
          <w:tcPr>
            <w:tcW w:w="727" w:type="dxa"/>
            <w:tcMar>
              <w:top w:w="0" w:type="dxa"/>
              <w:left w:w="105" w:type="dxa"/>
              <w:bottom w:w="0" w:type="dxa"/>
              <w:right w:w="105" w:type="dxa"/>
            </w:tcMar>
            <w:vAlign w:val="center"/>
          </w:tcPr>
          <w:p>
            <w:pPr>
              <w:pStyle w:val="4"/>
              <w:widowControl/>
              <w:spacing w:before="0" w:beforeAutospacing="0" w:after="0" w:afterAutospacing="0" w:line="315" w:lineRule="atLeast"/>
              <w:ind w:left="15" w:right="0"/>
              <w:jc w:val="center"/>
            </w:pPr>
            <w:r>
              <w:rPr>
                <w:rFonts w:hint="eastAsia" w:ascii="宋体" w:hAnsi="宋体" w:eastAsia="宋体" w:cs="宋体"/>
                <w:spacing w:val="0"/>
                <w:sz w:val="24"/>
                <w:szCs w:val="24"/>
              </w:rPr>
              <w:t>最后报价总价</w:t>
            </w:r>
          </w:p>
        </w:tc>
        <w:tc>
          <w:tcPr>
            <w:tcW w:w="1134" w:type="dxa"/>
            <w:tcMar>
              <w:top w:w="0" w:type="dxa"/>
              <w:left w:w="105" w:type="dxa"/>
              <w:bottom w:w="0" w:type="dxa"/>
              <w:right w:w="105" w:type="dxa"/>
            </w:tcMar>
            <w:vAlign w:val="center"/>
          </w:tcPr>
          <w:p>
            <w:pPr>
              <w:pStyle w:val="4"/>
              <w:widowControl/>
              <w:spacing w:before="0" w:beforeAutospacing="0" w:after="0" w:afterAutospacing="0" w:line="315" w:lineRule="atLeast"/>
              <w:ind w:left="0" w:right="0"/>
              <w:jc w:val="center"/>
            </w:pPr>
            <w:r>
              <w:rPr>
                <w:rFonts w:hint="eastAsia" w:ascii="宋体" w:hAnsi="宋体" w:eastAsia="宋体" w:cs="宋体"/>
                <w:spacing w:val="0"/>
                <w:sz w:val="24"/>
                <w:szCs w:val="24"/>
              </w:rPr>
              <w:t>响应产品的生产或供应企业</w:t>
            </w:r>
          </w:p>
        </w:tc>
        <w:tc>
          <w:tcPr>
            <w:tcW w:w="3215" w:type="dxa"/>
            <w:tcMar>
              <w:top w:w="0" w:type="dxa"/>
              <w:left w:w="105" w:type="dxa"/>
              <w:bottom w:w="0" w:type="dxa"/>
              <w:right w:w="105" w:type="dxa"/>
            </w:tcMar>
            <w:vAlign w:val="center"/>
          </w:tcPr>
          <w:p>
            <w:pPr>
              <w:pStyle w:val="4"/>
              <w:widowControl/>
              <w:spacing w:before="0" w:beforeAutospacing="0" w:after="0" w:afterAutospacing="0" w:line="315" w:lineRule="atLeast"/>
              <w:ind w:left="0" w:right="0"/>
              <w:jc w:val="center"/>
            </w:pPr>
            <w:r>
              <w:rPr>
                <w:rFonts w:hint="eastAsia" w:ascii="宋体" w:hAnsi="宋体" w:eastAsia="宋体" w:cs="宋体"/>
                <w:spacing w:val="0"/>
                <w:sz w:val="24"/>
                <w:szCs w:val="24"/>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blCellSpacing w:w="15" w:type="dxa"/>
        </w:trPr>
        <w:tc>
          <w:tcPr>
            <w:tcW w:w="1119" w:type="dxa"/>
            <w:tcMar>
              <w:top w:w="0" w:type="dxa"/>
              <w:left w:w="105" w:type="dxa"/>
              <w:bottom w:w="0" w:type="dxa"/>
              <w:right w:w="105" w:type="dxa"/>
            </w:tcMar>
            <w:vAlign w:val="center"/>
          </w:tcPr>
          <w:p>
            <w:pPr>
              <w:widowControl/>
              <w:jc w:val="left"/>
            </w:pPr>
          </w:p>
        </w:tc>
        <w:tc>
          <w:tcPr>
            <w:tcW w:w="726" w:type="dxa"/>
            <w:tcMar>
              <w:top w:w="0" w:type="dxa"/>
              <w:left w:w="105" w:type="dxa"/>
              <w:bottom w:w="0" w:type="dxa"/>
              <w:right w:w="105" w:type="dxa"/>
            </w:tcMar>
            <w:vAlign w:val="center"/>
          </w:tcPr>
          <w:p>
            <w:pPr>
              <w:widowControl/>
              <w:jc w:val="left"/>
            </w:pPr>
          </w:p>
        </w:tc>
        <w:tc>
          <w:tcPr>
            <w:tcW w:w="727" w:type="dxa"/>
            <w:tcMar>
              <w:top w:w="0" w:type="dxa"/>
              <w:left w:w="105" w:type="dxa"/>
              <w:bottom w:w="0" w:type="dxa"/>
              <w:right w:w="105" w:type="dxa"/>
            </w:tcMar>
            <w:vAlign w:val="center"/>
          </w:tcPr>
          <w:p>
            <w:pPr>
              <w:widowControl/>
              <w:jc w:val="left"/>
            </w:pPr>
          </w:p>
        </w:tc>
        <w:tc>
          <w:tcPr>
            <w:tcW w:w="727" w:type="dxa"/>
            <w:tcMar>
              <w:top w:w="0" w:type="dxa"/>
              <w:left w:w="105" w:type="dxa"/>
              <w:bottom w:w="0" w:type="dxa"/>
              <w:right w:w="105" w:type="dxa"/>
            </w:tcMar>
            <w:vAlign w:val="center"/>
          </w:tcPr>
          <w:p>
            <w:pPr>
              <w:widowControl/>
              <w:jc w:val="left"/>
            </w:pPr>
          </w:p>
        </w:tc>
        <w:tc>
          <w:tcPr>
            <w:tcW w:w="727" w:type="dxa"/>
            <w:tcMar>
              <w:top w:w="0" w:type="dxa"/>
              <w:left w:w="105" w:type="dxa"/>
              <w:bottom w:w="0" w:type="dxa"/>
              <w:right w:w="105" w:type="dxa"/>
            </w:tcMar>
            <w:vAlign w:val="center"/>
          </w:tcPr>
          <w:p>
            <w:pPr>
              <w:widowControl/>
              <w:jc w:val="left"/>
            </w:pPr>
          </w:p>
        </w:tc>
        <w:tc>
          <w:tcPr>
            <w:tcW w:w="727" w:type="dxa"/>
            <w:tcMar>
              <w:top w:w="0" w:type="dxa"/>
              <w:left w:w="105" w:type="dxa"/>
              <w:bottom w:w="0" w:type="dxa"/>
              <w:right w:w="105" w:type="dxa"/>
            </w:tcMar>
            <w:vAlign w:val="center"/>
          </w:tcPr>
          <w:p>
            <w:pPr>
              <w:widowControl/>
              <w:jc w:val="left"/>
            </w:pPr>
          </w:p>
        </w:tc>
        <w:tc>
          <w:tcPr>
            <w:tcW w:w="1134" w:type="dxa"/>
            <w:tcMar>
              <w:top w:w="0" w:type="dxa"/>
              <w:left w:w="105" w:type="dxa"/>
              <w:bottom w:w="0" w:type="dxa"/>
              <w:right w:w="105" w:type="dxa"/>
            </w:tcMar>
            <w:vAlign w:val="center"/>
          </w:tcPr>
          <w:p>
            <w:pPr>
              <w:widowControl/>
              <w:jc w:val="left"/>
            </w:pPr>
          </w:p>
        </w:tc>
        <w:tc>
          <w:tcPr>
            <w:tcW w:w="3215" w:type="dxa"/>
            <w:tcMar>
              <w:top w:w="0" w:type="dxa"/>
              <w:left w:w="105" w:type="dxa"/>
              <w:bottom w:w="0" w:type="dxa"/>
              <w:right w:w="105" w:type="dxa"/>
            </w:tcMar>
            <w:vAlign w:val="center"/>
          </w:tcPr>
          <w:p>
            <w:pPr>
              <w:pStyle w:val="4"/>
              <w:widowControl/>
              <w:spacing w:before="0" w:beforeAutospacing="0" w:after="0" w:afterAutospacing="0" w:line="315" w:lineRule="atLeast"/>
              <w:ind w:left="0" w:right="0"/>
              <w:jc w:val="center"/>
            </w:pPr>
            <w:r>
              <w:rPr>
                <w:rFonts w:hint="eastAsia" w:ascii="宋体" w:hAnsi="宋体" w:eastAsia="宋体" w:cs="宋体"/>
                <w:spacing w:val="0"/>
                <w:sz w:val="21"/>
                <w:szCs w:val="21"/>
              </w:rPr>
              <w:t>所报价产品的生产或供应企业类型为：</w:t>
            </w:r>
            <w:r>
              <w:rPr>
                <w:rFonts w:hint="eastAsia" w:ascii="宋体" w:hAnsi="宋体" w:eastAsia="宋体" w:cs="宋体"/>
                <w:spacing w:val="0"/>
                <w:sz w:val="21"/>
                <w:szCs w:val="21"/>
                <w:u w:val="single"/>
              </w:rPr>
              <w:t>     （</w:t>
            </w:r>
            <w:r>
              <w:rPr>
                <w:rFonts w:hint="default" w:ascii="Calibri" w:hAnsi="Calibri" w:cs="Calibri"/>
                <w:spacing w:val="0"/>
                <w:sz w:val="21"/>
                <w:szCs w:val="21"/>
                <w:u w:val="single"/>
              </w:rPr>
              <w:t>请填写</w:t>
            </w:r>
            <w:r>
              <w:rPr>
                <w:rFonts w:hint="eastAsia" w:ascii="宋体" w:hAnsi="宋体" w:eastAsia="宋体" w:cs="宋体"/>
                <w:spacing w:val="0"/>
                <w:sz w:val="21"/>
                <w:szCs w:val="21"/>
                <w:u w:val="single"/>
              </w:rPr>
              <w:t>中型、小型、微型企业）</w:t>
            </w:r>
          </w:p>
        </w:tc>
      </w:tr>
    </w:tbl>
    <w:p>
      <w:pPr>
        <w:pStyle w:val="4"/>
        <w:widowControl/>
        <w:spacing w:before="75" w:beforeAutospacing="0" w:after="75" w:afterAutospacing="0" w:line="420" w:lineRule="atLeast"/>
        <w:ind w:left="0" w:right="0" w:firstLine="480"/>
      </w:pPr>
      <w:r>
        <w:rPr>
          <w:rFonts w:hint="eastAsia" w:ascii="宋体" w:hAnsi="宋体" w:eastAsia="宋体" w:cs="宋体"/>
          <w:spacing w:val="0"/>
          <w:sz w:val="21"/>
          <w:szCs w:val="21"/>
        </w:rPr>
        <w:t>备注：</w:t>
      </w:r>
      <w:r>
        <w:rPr>
          <w:rFonts w:hint="eastAsia" w:ascii="宋体" w:hAnsi="宋体" w:eastAsia="宋体" w:cs="宋体"/>
          <w:spacing w:val="0"/>
          <w:sz w:val="24"/>
          <w:szCs w:val="24"/>
        </w:rPr>
        <w:t>（</w:t>
      </w:r>
      <w:r>
        <w:rPr>
          <w:rFonts w:hint="eastAsia" w:ascii="宋体" w:hAnsi="宋体" w:eastAsia="宋体" w:cs="宋体"/>
          <w:spacing w:val="0"/>
          <w:sz w:val="21"/>
          <w:szCs w:val="21"/>
        </w:rPr>
        <w:t>1</w:t>
      </w:r>
      <w:r>
        <w:rPr>
          <w:rFonts w:hint="eastAsia" w:ascii="宋体" w:hAnsi="宋体" w:eastAsia="宋体" w:cs="宋体"/>
          <w:spacing w:val="0"/>
          <w:sz w:val="24"/>
          <w:szCs w:val="24"/>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1"/>
          <w:szCs w:val="21"/>
        </w:rPr>
        <w:t>2</w:t>
      </w:r>
      <w:r>
        <w:rPr>
          <w:rFonts w:hint="eastAsia" w:ascii="宋体" w:hAnsi="宋体" w:eastAsia="宋体" w:cs="宋体"/>
          <w:spacing w:val="0"/>
          <w:sz w:val="24"/>
          <w:szCs w:val="24"/>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w:t>
      </w:r>
      <w:r>
        <w:rPr>
          <w:rFonts w:hint="eastAsia" w:ascii="宋体" w:hAnsi="宋体" w:eastAsia="宋体" w:cs="宋体"/>
          <w:spacing w:val="0"/>
          <w:sz w:val="21"/>
          <w:szCs w:val="21"/>
        </w:rPr>
        <w:t>纸质响应文件正本中的本声明函（若有）及主管部门出具的证明材料应为原件，否则视为材料不齐全，不享受价格扣除的优惠政策。</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color w:val="0000FF"/>
          <w:spacing w:val="0"/>
          <w:sz w:val="21"/>
          <w:szCs w:val="21"/>
        </w:rPr>
        <w:t>3</w:t>
      </w:r>
      <w:r>
        <w:rPr>
          <w:rFonts w:hint="eastAsia" w:ascii="宋体" w:hAnsi="宋体" w:eastAsia="宋体" w:cs="宋体"/>
          <w:spacing w:val="0"/>
          <w:sz w:val="24"/>
          <w:szCs w:val="24"/>
        </w:rPr>
        <w:t>）供应商为监狱企业的，可不填写本声明函。根据其提供的由省级以上监狱管理局、戒毒管理局（含新疆生产建设兵团）出具的属于监狱企业的证明文件进行认定，监狱企业视同小型、微型企业。 </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（4）供应商为残疾人福利性单位的，可不填写本声明函，根据其提供的《残疾人福利性单位声明函》（格式附后）进行认定，残疾人福利性单位视同小型、微型企业。</w:t>
      </w:r>
    </w:p>
    <w:p>
      <w:pPr>
        <w:pStyle w:val="4"/>
        <w:widowControl/>
        <w:spacing w:before="75" w:beforeAutospacing="0" w:after="75" w:afterAutospacing="0"/>
        <w:ind w:left="0" w:right="0" w:firstLine="0"/>
        <w:jc w:val="center"/>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pPr>
      <w:r>
        <w:rPr>
          <w:rFonts w:hint="eastAsia" w:ascii="宋体" w:hAnsi="宋体" w:eastAsia="宋体" w:cs="宋体"/>
          <w:spacing w:val="0"/>
          <w:sz w:val="24"/>
          <w:szCs w:val="24"/>
        </w:rPr>
        <w:t>附件7-1-2</w:t>
      </w:r>
    </w:p>
    <w:p>
      <w:pPr>
        <w:pStyle w:val="4"/>
        <w:widowControl/>
        <w:spacing w:before="75" w:beforeAutospacing="0" w:after="75" w:afterAutospacing="0"/>
        <w:ind w:left="0" w:right="0" w:firstLine="0"/>
        <w:jc w:val="center"/>
      </w:pPr>
      <w:r>
        <w:rPr>
          <w:rStyle w:val="6"/>
          <w:rFonts w:hint="eastAsia" w:ascii="宋体" w:hAnsi="宋体" w:eastAsia="宋体" w:cs="宋体"/>
          <w:spacing w:val="0"/>
          <w:sz w:val="24"/>
          <w:szCs w:val="24"/>
        </w:rPr>
        <w:t>残疾人福利性单位声明函（如果有的话）</w:t>
      </w:r>
    </w:p>
    <w:p>
      <w:pPr>
        <w:pStyle w:val="4"/>
        <w:widowControl/>
        <w:spacing w:before="75" w:beforeAutospacing="0" w:after="75" w:afterAutospacing="0"/>
        <w:ind w:left="0" w:right="0" w:firstLine="0"/>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Style w:val="6"/>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项目采购活动：</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）提供本供应商制造的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）由本供应商承担的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工程，</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）由本供应商提供的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服务；或</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）提供其他残疾人福利性单位制造的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货物（不包括使用非残疾人福利性单位注册商标的货物）。</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本供应商对上述声明的真实性负责。如有虚假，将依法承担相应责任。</w:t>
      </w:r>
    </w:p>
    <w:p>
      <w:pPr>
        <w:pStyle w:val="4"/>
        <w:widowControl/>
        <w:spacing w:before="75" w:beforeAutospacing="0" w:after="75" w:afterAutospacing="0" w:line="435" w:lineRule="atLeast"/>
        <w:ind w:left="0" w:right="0" w:firstLine="42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（2）请供应商按照实际情况编制填写本声明函，并在相应的（）中打“√”。</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（3）纸质响应文件正本中的本声明函（若有）应为原件。</w:t>
      </w:r>
    </w:p>
    <w:p>
      <w:pPr>
        <w:pStyle w:val="4"/>
        <w:widowControl/>
        <w:spacing w:before="75" w:beforeAutospacing="0" w:after="75" w:afterAutospacing="0" w:line="420" w:lineRule="atLeast"/>
        <w:ind w:left="0" w:right="0" w:firstLine="480"/>
      </w:pPr>
      <w:r>
        <w:rPr>
          <w:rFonts w:hint="eastAsia" w:ascii="宋体" w:hAnsi="宋体" w:eastAsia="宋体" w:cs="宋体"/>
          <w:spacing w:val="0"/>
          <w:sz w:val="24"/>
          <w:szCs w:val="24"/>
        </w:rPr>
        <w:t>（4）若《残疾人福利性单位声明函》内容不真实，视为提供虚假材料。</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4"/>
        <w:widowControl/>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4"/>
        <w:widowControl/>
        <w:spacing w:before="75" w:beforeAutospacing="0" w:after="75" w:afterAutospacing="0"/>
        <w:ind w:left="0" w:right="0" w:firstLine="0"/>
        <w:jc w:val="center"/>
      </w:pPr>
      <w:r>
        <w:rPr>
          <w:rFonts w:hint="eastAsia" w:ascii="宋体" w:hAnsi="宋体" w:eastAsia="宋体" w:cs="宋体"/>
          <w:spacing w:val="0"/>
          <w:sz w:val="24"/>
          <w:szCs w:val="24"/>
        </w:rPr>
        <w:t>附件7-2</w:t>
      </w:r>
      <w:r>
        <w:rPr>
          <w:rStyle w:val="6"/>
          <w:rFonts w:hint="eastAsia" w:ascii="宋体" w:hAnsi="宋体" w:eastAsia="宋体" w:cs="宋体"/>
          <w:spacing w:val="0"/>
          <w:sz w:val="24"/>
          <w:szCs w:val="24"/>
        </w:rPr>
        <w:t>优先类节能产品、环境标志产品价格扣除证明材料（如果有的话）</w:t>
      </w:r>
    </w:p>
    <w:p>
      <w:pPr>
        <w:pStyle w:val="4"/>
        <w:widowControl/>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8"/>
        <w:tblW w:w="851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2"/>
        <w:gridCol w:w="1204"/>
        <w:gridCol w:w="1204"/>
        <w:gridCol w:w="1210"/>
        <w:gridCol w:w="1204"/>
        <w:gridCol w:w="121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7" w:type="dxa"/>
            <w:tcMar>
              <w:top w:w="0" w:type="dxa"/>
              <w:left w:w="105" w:type="dxa"/>
              <w:bottom w:w="0" w:type="dxa"/>
              <w:right w:w="105" w:type="dxa"/>
            </w:tcMar>
            <w:vAlign w:val="center"/>
          </w:tcPr>
          <w:p>
            <w:pPr>
              <w:widowControl/>
              <w:jc w:val="left"/>
            </w:pPr>
          </w:p>
        </w:tc>
        <w:tc>
          <w:tcPr>
            <w:tcW w:w="7258" w:type="dxa"/>
            <w:gridSpan w:val="6"/>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7"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合同包</w:t>
            </w:r>
          </w:p>
        </w:tc>
        <w:tc>
          <w:tcPr>
            <w:tcW w:w="1174"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品目号</w:t>
            </w:r>
          </w:p>
        </w:tc>
        <w:tc>
          <w:tcPr>
            <w:tcW w:w="1174"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产品名称</w:t>
            </w:r>
          </w:p>
        </w:tc>
        <w:tc>
          <w:tcPr>
            <w:tcW w:w="1180"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4"/>
              <w:widowControl/>
              <w:spacing w:before="0" w:beforeAutospacing="0" w:after="0" w:afterAutospacing="0"/>
              <w:ind w:left="0" w:right="0"/>
              <w:jc w:val="center"/>
            </w:pPr>
            <w:r>
              <w:rPr>
                <w:rFonts w:hint="eastAsia" w:ascii="宋体" w:hAnsi="宋体" w:eastAsia="宋体" w:cs="宋体"/>
                <w:spacing w:val="0"/>
                <w:sz w:val="21"/>
                <w:szCs w:val="21"/>
              </w:rPr>
              <w:t>（现场）</w:t>
            </w:r>
          </w:p>
        </w:tc>
        <w:tc>
          <w:tcPr>
            <w:tcW w:w="1174"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数量</w:t>
            </w:r>
          </w:p>
        </w:tc>
        <w:tc>
          <w:tcPr>
            <w:tcW w:w="1180"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4"/>
              <w:widowControl/>
              <w:spacing w:before="0" w:beforeAutospacing="0" w:after="0" w:afterAutospacing="0"/>
              <w:ind w:left="0" w:right="0"/>
              <w:jc w:val="center"/>
            </w:pPr>
            <w:r>
              <w:rPr>
                <w:rFonts w:hint="eastAsia" w:ascii="宋体" w:hAnsi="宋体" w:eastAsia="宋体" w:cs="宋体"/>
                <w:spacing w:val="0"/>
                <w:sz w:val="21"/>
                <w:szCs w:val="21"/>
              </w:rPr>
              <w:t>（现场）</w:t>
            </w:r>
          </w:p>
        </w:tc>
        <w:tc>
          <w:tcPr>
            <w:tcW w:w="1226"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7" w:type="dxa"/>
            <w:vMerge w:val="restart"/>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w:t>
            </w:r>
          </w:p>
        </w:tc>
        <w:tc>
          <w:tcPr>
            <w:tcW w:w="1174"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*-1</w:t>
            </w:r>
          </w:p>
        </w:tc>
        <w:tc>
          <w:tcPr>
            <w:tcW w:w="1174" w:type="dxa"/>
            <w:tcMar>
              <w:top w:w="0" w:type="dxa"/>
              <w:left w:w="105" w:type="dxa"/>
              <w:bottom w:w="0" w:type="dxa"/>
              <w:right w:w="105" w:type="dxa"/>
            </w:tcMar>
            <w:vAlign w:val="center"/>
          </w:tcPr>
          <w:p>
            <w:pPr>
              <w:widowControl/>
              <w:jc w:val="left"/>
            </w:pPr>
          </w:p>
        </w:tc>
        <w:tc>
          <w:tcPr>
            <w:tcW w:w="1180" w:type="dxa"/>
            <w:tcMar>
              <w:top w:w="0" w:type="dxa"/>
              <w:left w:w="105" w:type="dxa"/>
              <w:bottom w:w="0" w:type="dxa"/>
              <w:right w:w="105" w:type="dxa"/>
            </w:tcMar>
            <w:vAlign w:val="center"/>
          </w:tcPr>
          <w:p>
            <w:pPr>
              <w:widowControl/>
              <w:jc w:val="left"/>
            </w:pPr>
          </w:p>
        </w:tc>
        <w:tc>
          <w:tcPr>
            <w:tcW w:w="1174" w:type="dxa"/>
            <w:tcMar>
              <w:top w:w="0" w:type="dxa"/>
              <w:left w:w="105" w:type="dxa"/>
              <w:bottom w:w="0" w:type="dxa"/>
              <w:right w:w="105" w:type="dxa"/>
            </w:tcMar>
            <w:vAlign w:val="center"/>
          </w:tcPr>
          <w:p>
            <w:pPr>
              <w:widowControl/>
              <w:jc w:val="left"/>
            </w:pPr>
          </w:p>
        </w:tc>
        <w:tc>
          <w:tcPr>
            <w:tcW w:w="1180" w:type="dxa"/>
            <w:tcMar>
              <w:top w:w="0" w:type="dxa"/>
              <w:left w:w="105" w:type="dxa"/>
              <w:bottom w:w="0" w:type="dxa"/>
              <w:right w:w="105" w:type="dxa"/>
            </w:tcMar>
            <w:vAlign w:val="center"/>
          </w:tcPr>
          <w:p>
            <w:pPr>
              <w:widowControl/>
              <w:jc w:val="left"/>
            </w:pPr>
          </w:p>
        </w:tc>
        <w:tc>
          <w:tcPr>
            <w:tcW w:w="122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7" w:type="dxa"/>
            <w:vMerge w:val="continue"/>
            <w:tcMar>
              <w:top w:w="0" w:type="dxa"/>
              <w:left w:w="105" w:type="dxa"/>
              <w:bottom w:w="0" w:type="dxa"/>
              <w:right w:w="105" w:type="dxa"/>
            </w:tcMar>
            <w:vAlign w:val="center"/>
          </w:tcPr>
          <w:p>
            <w:pPr>
              <w:rPr>
                <w:rFonts w:hint="eastAsia" w:ascii="宋体"/>
                <w:sz w:val="24"/>
                <w:szCs w:val="24"/>
              </w:rPr>
            </w:pPr>
          </w:p>
        </w:tc>
        <w:tc>
          <w:tcPr>
            <w:tcW w:w="1174"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default" w:ascii="Calibri" w:hAnsi="Calibri" w:cs="Calibri"/>
                <w:spacing w:val="0"/>
                <w:sz w:val="21"/>
                <w:szCs w:val="21"/>
              </w:rPr>
              <w:t>…</w:t>
            </w:r>
          </w:p>
        </w:tc>
        <w:tc>
          <w:tcPr>
            <w:tcW w:w="1174" w:type="dxa"/>
            <w:tcMar>
              <w:top w:w="0" w:type="dxa"/>
              <w:left w:w="105" w:type="dxa"/>
              <w:bottom w:w="0" w:type="dxa"/>
              <w:right w:w="105" w:type="dxa"/>
            </w:tcMar>
            <w:vAlign w:val="center"/>
          </w:tcPr>
          <w:p>
            <w:pPr>
              <w:widowControl/>
              <w:jc w:val="left"/>
            </w:pPr>
          </w:p>
        </w:tc>
        <w:tc>
          <w:tcPr>
            <w:tcW w:w="1180" w:type="dxa"/>
            <w:tcMar>
              <w:top w:w="0" w:type="dxa"/>
              <w:left w:w="105" w:type="dxa"/>
              <w:bottom w:w="0" w:type="dxa"/>
              <w:right w:w="105" w:type="dxa"/>
            </w:tcMar>
            <w:vAlign w:val="center"/>
          </w:tcPr>
          <w:p>
            <w:pPr>
              <w:widowControl/>
              <w:jc w:val="left"/>
            </w:pPr>
          </w:p>
        </w:tc>
        <w:tc>
          <w:tcPr>
            <w:tcW w:w="1174" w:type="dxa"/>
            <w:tcMar>
              <w:top w:w="0" w:type="dxa"/>
              <w:left w:w="105" w:type="dxa"/>
              <w:bottom w:w="0" w:type="dxa"/>
              <w:right w:w="105" w:type="dxa"/>
            </w:tcMar>
            <w:vAlign w:val="center"/>
          </w:tcPr>
          <w:p>
            <w:pPr>
              <w:widowControl/>
              <w:jc w:val="left"/>
            </w:pPr>
          </w:p>
        </w:tc>
        <w:tc>
          <w:tcPr>
            <w:tcW w:w="1180" w:type="dxa"/>
            <w:tcMar>
              <w:top w:w="0" w:type="dxa"/>
              <w:left w:w="105" w:type="dxa"/>
              <w:bottom w:w="0" w:type="dxa"/>
              <w:right w:w="105" w:type="dxa"/>
            </w:tcMar>
            <w:vAlign w:val="center"/>
          </w:tcPr>
          <w:p>
            <w:pPr>
              <w:widowControl/>
              <w:jc w:val="left"/>
            </w:pPr>
          </w:p>
        </w:tc>
        <w:tc>
          <w:tcPr>
            <w:tcW w:w="122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7" w:type="dxa"/>
            <w:tcMar>
              <w:top w:w="0" w:type="dxa"/>
              <w:left w:w="105" w:type="dxa"/>
              <w:bottom w:w="0" w:type="dxa"/>
              <w:right w:w="105" w:type="dxa"/>
            </w:tcMar>
            <w:vAlign w:val="center"/>
          </w:tcPr>
          <w:p>
            <w:pPr>
              <w:pStyle w:val="4"/>
              <w:widowControl/>
              <w:spacing w:before="0" w:beforeAutospacing="0" w:after="0" w:afterAutospacing="0"/>
              <w:ind w:left="0" w:right="0"/>
              <w:jc w:val="center"/>
            </w:pPr>
            <w:r>
              <w:rPr>
                <w:rFonts w:hint="eastAsia" w:ascii="宋体" w:hAnsi="宋体" w:eastAsia="宋体" w:cs="宋体"/>
                <w:spacing w:val="0"/>
                <w:sz w:val="21"/>
                <w:szCs w:val="21"/>
              </w:rPr>
              <w:t>备注</w:t>
            </w:r>
          </w:p>
        </w:tc>
        <w:tc>
          <w:tcPr>
            <w:tcW w:w="7258" w:type="dxa"/>
            <w:gridSpan w:val="6"/>
            <w:tcMar>
              <w:top w:w="0" w:type="dxa"/>
              <w:left w:w="105" w:type="dxa"/>
              <w:bottom w:w="0" w:type="dxa"/>
              <w:right w:w="105" w:type="dxa"/>
            </w:tcMar>
            <w:vAlign w:val="top"/>
          </w:tcPr>
          <w:p>
            <w:pPr>
              <w:pStyle w:val="4"/>
              <w:widowControl/>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4"/>
              <w:widowControl/>
              <w:spacing w:before="0" w:beforeAutospacing="0" w:after="0" w:afterAutospacing="0"/>
              <w:ind w:left="0" w:right="0"/>
            </w:pPr>
            <w:r>
              <w:rPr>
                <w:rFonts w:hint="eastAsia" w:ascii="宋体" w:hAnsi="宋体" w:eastAsia="宋体" w:cs="宋体"/>
                <w:spacing w:val="0"/>
                <w:sz w:val="21"/>
                <w:szCs w:val="21"/>
              </w:rPr>
              <w:t>b.本合同包最后报价总价：</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4"/>
              <w:widowControl/>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tc>
      </w:tr>
    </w:tbl>
    <w:p>
      <w:pPr>
        <w:pStyle w:val="4"/>
        <w:widowControl/>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3、具体统计、计算：</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3.1若同一合同包内的单个或多个货物取得或同时取得节能、环境标志产品等两项或多项认证的，均按照单个货物对应一项认证的原则统计、计算1次。</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3.2计算结果若除不尽，可四舍五入保留到小数点后两位。</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3.3供应商应按照磋商文件上表要求认真统计、计算，否则磋商小组可不予认定。</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3.4若无节能、环境标志产品，不填写本表，否则，视为提供虚假材料。</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3.5强制类节能产品不享受价格扣除。</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4、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pPr>
        <w:pStyle w:val="4"/>
        <w:widowControl/>
        <w:spacing w:before="75" w:beforeAutospacing="0" w:after="75" w:afterAutospacing="0" w:line="360" w:lineRule="atLeast"/>
        <w:ind w:left="0" w:right="0" w:firstLine="0"/>
      </w:pPr>
      <w:r>
        <w:rPr>
          <w:rFonts w:hint="eastAsia" w:ascii="宋体" w:hAnsi="宋体" w:eastAsia="宋体" w:cs="宋体"/>
          <w:spacing w:val="0"/>
          <w:sz w:val="24"/>
          <w:szCs w:val="24"/>
        </w:rPr>
        <w:t>5、纸质响应文件正本中的本表（若有）应为原件。</w:t>
      </w:r>
    </w:p>
    <w:p>
      <w:pPr>
        <w:pStyle w:val="4"/>
        <w:widowControl/>
        <w:spacing w:before="75" w:beforeAutospacing="0" w:after="75" w:afterAutospacing="0" w:line="42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6"/>
          <w:rFonts w:hint="eastAsia" w:ascii="宋体" w:hAnsi="宋体" w:eastAsia="宋体" w:cs="宋体"/>
          <w:spacing w:val="0"/>
          <w:sz w:val="24"/>
          <w:szCs w:val="24"/>
        </w:rPr>
        <w:t>要求作为响应文件组成部分的其他内容（若有）</w:t>
      </w:r>
    </w:p>
    <w:p>
      <w:pPr>
        <w:pStyle w:val="4"/>
        <w:widowControl/>
        <w:spacing w:before="75" w:beforeAutospacing="0" w:after="75" w:afterAutospacing="0"/>
        <w:ind w:left="0" w:right="0" w:firstLine="0"/>
      </w:pPr>
      <w:r>
        <w:rPr>
          <w:rFonts w:hint="eastAsia" w:ascii="宋体" w:hAnsi="宋体" w:eastAsia="宋体" w:cs="宋体"/>
          <w:spacing w:val="0"/>
          <w:sz w:val="24"/>
          <w:szCs w:val="24"/>
        </w:rPr>
        <w:t> </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4"/>
        <w:widowControl/>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2、供应商根据自身实际情况编写有关资料包括如供应商单位简介、竞争性磋商文件要求提供或供应商自已认为体现自身优势，需要补充说明的其它资料，格式自拟。</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shd w:val="clear" w:color="040000" w:fill="7F7F7F"/>
        </w:rPr>
        <w:t> </w:t>
      </w:r>
    </w:p>
    <w:p>
      <w:pPr>
        <w:pStyle w:val="4"/>
        <w:widowControl/>
        <w:spacing w:before="75" w:beforeAutospacing="0" w:after="75" w:afterAutospacing="0"/>
        <w:ind w:left="0" w:right="0" w:firstLine="0"/>
      </w:pPr>
      <w:r>
        <w:rPr>
          <w:rFonts w:hint="eastAsia" w:ascii="宋体" w:hAnsi="宋体" w:eastAsia="宋体" w:cs="宋体"/>
          <w:spacing w:val="0"/>
          <w:sz w:val="24"/>
          <w:szCs w:val="24"/>
          <w:shd w:val="clear" w:color="040000" w:fill="7F7F7F"/>
        </w:rPr>
        <w:t>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widowControl/>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w:t>
      </w:r>
    </w:p>
    <w:p>
      <w:pPr>
        <w:pStyle w:val="4"/>
        <w:widowControl/>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456664A"/>
    <w:rsid w:val="2B5A486B"/>
    <w:rsid w:val="319054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87;&#23478;6\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2018-09-06T14:23:00Z</dcterms:created>
  <dc:creator>忙碌的林先生^O^</dc:creator>
  <cp:lastModifiedBy>忙碌的林先生^O^</cp:lastModifiedBy>
  <dcterms:modified xsi:type="dcterms:W3CDTF">2018-09-08T10:58:16Z</dcterms:modified>
  <dc:title>福建省政府采购项目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